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rPr>
          <w:rFonts w:hint="default"/>
          <w:sz w:val="2"/>
        </w:rPr>
      </w:pPr>
      <w:bookmarkStart w:id="0" w:name="_GoBack"/>
      <w:bookmarkEnd w:id="0"/>
    </w:p>
    <w:p>
      <w:pPr>
        <w:spacing w:beforeLines="0" w:afterLines="0"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2026年度厦门市南山实验幼儿园单位预算</w:t>
      </w:r>
    </w:p>
    <w:p>
      <w:pPr>
        <w:spacing w:beforeLines="0" w:afterLines="0" w:line="525" w:lineRule="exact"/>
        <w:jc w:val="both"/>
        <w:rPr>
          <w:rFonts w:hint="eastAsia" w:ascii="黑体" w:hAnsi="黑体" w:eastAsia="黑体"/>
          <w:sz w:val="30"/>
        </w:rPr>
      </w:pPr>
    </w:p>
    <w:p>
      <w:pPr>
        <w:spacing w:beforeLines="0" w:afterLines="0" w:line="525" w:lineRule="exact"/>
        <w:jc w:val="center"/>
        <w:rPr>
          <w:rFonts w:hint="eastAsia" w:ascii="黑体" w:hAnsi="黑体" w:eastAsia="黑体"/>
          <w:sz w:val="32"/>
        </w:rPr>
      </w:pPr>
      <w:r>
        <w:rPr>
          <w:rFonts w:hint="eastAsia" w:ascii="黑体" w:hAnsi="黑体" w:eastAsia="黑体"/>
          <w:sz w:val="32"/>
        </w:rPr>
        <w:t>目　　录</w:t>
      </w:r>
    </w:p>
    <w:p>
      <w:pPr>
        <w:spacing w:beforeLines="0" w:afterLines="0" w:line="555" w:lineRule="exact"/>
        <w:jc w:val="both"/>
        <w:rPr>
          <w:rFonts w:hint="eastAsia" w:ascii="仿宋" w:hAnsi="仿宋" w:eastAsia="仿宋"/>
          <w:sz w:val="32"/>
        </w:rPr>
      </w:pPr>
      <w:r>
        <w:rPr>
          <w:rFonts w:hint="eastAsia" w:ascii="黑体" w:hAnsi="黑体" w:eastAsia="黑体"/>
          <w:sz w:val="32"/>
        </w:rPr>
        <w:t>　　第一部分   单位概况</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一、单位主要职责</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二、单位基本情况</w:t>
      </w:r>
    </w:p>
    <w:p>
      <w:pPr>
        <w:spacing w:beforeLines="0" w:afterLines="0" w:line="555" w:lineRule="exact"/>
        <w:jc w:val="both"/>
        <w:rPr>
          <w:rFonts w:hint="eastAsia" w:ascii="黑体" w:hAnsi="黑体" w:eastAsia="黑体"/>
          <w:sz w:val="32"/>
        </w:rPr>
      </w:pPr>
      <w:r>
        <w:rPr>
          <w:rFonts w:hint="eastAsia" w:ascii="仿宋_GB2312" w:hAnsi="仿宋_GB2312" w:eastAsia="仿宋_GB2312"/>
          <w:sz w:val="32"/>
        </w:rPr>
        <w:t>　　三、单位主要工作任务</w:t>
      </w:r>
    </w:p>
    <w:p>
      <w:pPr>
        <w:spacing w:beforeLines="0" w:afterLines="0" w:line="555" w:lineRule="exact"/>
        <w:jc w:val="both"/>
        <w:rPr>
          <w:rFonts w:hint="eastAsia" w:ascii="黑体" w:hAnsi="黑体" w:eastAsia="黑体"/>
          <w:sz w:val="32"/>
        </w:rPr>
      </w:pPr>
      <w:r>
        <w:rPr>
          <w:rFonts w:hint="eastAsia" w:ascii="黑体" w:hAnsi="黑体" w:eastAsia="黑体"/>
          <w:sz w:val="32"/>
        </w:rPr>
        <w:t>　　第二部分   2026年单位预算说明</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一、2026年单位预算收支总体情况</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二、一般公共预算财政拨款支出预算情况</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三、政府性基金预算财政拨款支出情况</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四、“三公”经费财政拨款预算情况</w:t>
      </w:r>
    </w:p>
    <w:p>
      <w:pPr>
        <w:spacing w:beforeLines="0" w:afterLines="0" w:line="555" w:lineRule="exact"/>
        <w:jc w:val="both"/>
        <w:rPr>
          <w:rFonts w:hint="eastAsia" w:ascii="黑体" w:hAnsi="黑体" w:eastAsia="黑体"/>
          <w:sz w:val="32"/>
        </w:rPr>
      </w:pPr>
      <w:r>
        <w:rPr>
          <w:rFonts w:hint="eastAsia" w:ascii="仿宋_GB2312" w:hAnsi="仿宋_GB2312" w:eastAsia="仿宋_GB2312"/>
          <w:sz w:val="32"/>
        </w:rPr>
        <w:t>　　五、其他重要事项的情况说明</w:t>
      </w:r>
    </w:p>
    <w:p>
      <w:pPr>
        <w:spacing w:beforeLines="0" w:afterLines="0" w:line="555" w:lineRule="exact"/>
        <w:jc w:val="both"/>
        <w:rPr>
          <w:rFonts w:hint="eastAsia" w:ascii="黑体" w:hAnsi="黑体" w:eastAsia="黑体"/>
          <w:sz w:val="32"/>
        </w:rPr>
      </w:pPr>
      <w:r>
        <w:rPr>
          <w:rFonts w:hint="eastAsia" w:ascii="黑体" w:hAnsi="黑体" w:eastAsia="黑体"/>
          <w:sz w:val="32"/>
        </w:rPr>
        <w:t>　　第三部分   名词解释</w:t>
      </w:r>
    </w:p>
    <w:p>
      <w:pPr>
        <w:spacing w:beforeLines="0" w:afterLines="0" w:line="555" w:lineRule="exact"/>
        <w:jc w:val="both"/>
        <w:rPr>
          <w:rFonts w:hint="eastAsia" w:ascii="黑体" w:hAnsi="黑体" w:eastAsia="黑体"/>
          <w:sz w:val="32"/>
        </w:rPr>
      </w:pPr>
      <w:r>
        <w:rPr>
          <w:rFonts w:hint="eastAsia" w:ascii="黑体" w:hAnsi="黑体" w:eastAsia="黑体"/>
          <w:sz w:val="32"/>
        </w:rPr>
        <w:t>　　第四部分   2026年单位预算附表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一、部门收支预算总体情况表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二、部门收入预算总体情况表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三、部门支出预算总体情况表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四、财政拨款收支预算总体情况表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五、 一般公共预算支出情况表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七、一般公共预算“三公”经费支出情况表</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八、政府性基金预算支出情况表</w:t>
      </w:r>
    </w:p>
    <w:p>
      <w:pPr>
        <w:spacing w:beforeLines="0" w:afterLines="0" w:line="555" w:lineRule="exact"/>
        <w:ind w:firstLine="640"/>
        <w:jc w:val="both"/>
        <w:rPr>
          <w:rFonts w:hint="eastAsia" w:ascii="仿宋_GB2312" w:hAnsi="仿宋_GB2312" w:eastAsia="仿宋_GB2312"/>
          <w:sz w:val="32"/>
        </w:rPr>
      </w:pPr>
      <w:r>
        <w:rPr>
          <w:rFonts w:hint="eastAsia" w:ascii="仿宋_GB2312" w:hAnsi="仿宋_GB2312" w:eastAsia="仿宋_GB2312"/>
          <w:sz w:val="32"/>
        </w:rPr>
        <w:t>九、区对镇（街）转移支付支出预算表</w:t>
      </w:r>
    </w:p>
    <w:p>
      <w:pPr>
        <w:spacing w:beforeLines="0" w:afterLines="0" w:line="555" w:lineRule="exact"/>
        <w:ind w:firstLine="640"/>
        <w:jc w:val="both"/>
        <w:rPr>
          <w:rFonts w:hint="eastAsia" w:ascii="仿宋_GB2312" w:hAnsi="仿宋_GB2312" w:eastAsia="仿宋_GB2312"/>
          <w:sz w:val="32"/>
        </w:rPr>
      </w:pPr>
      <w:r>
        <w:rPr>
          <w:rFonts w:hint="eastAsia" w:ascii="仿宋_GB2312" w:hAnsi="仿宋_GB2312" w:eastAsia="仿宋_GB2312"/>
          <w:sz w:val="32"/>
          <w:lang w:val="en-US" w:eastAsia="zh-CN"/>
        </w:rPr>
        <w:t>十、二级项目绩效目标表</w:t>
      </w:r>
    </w:p>
    <w:p>
      <w:pPr>
        <w:spacing w:beforeLines="0" w:afterLines="0" w:line="555" w:lineRule="exact"/>
        <w:ind w:firstLine="640"/>
        <w:jc w:val="both"/>
        <w:rPr>
          <w:rFonts w:hint="eastAsia" w:ascii="仿宋_GB2312" w:hAnsi="仿宋_GB2312" w:eastAsia="仿宋_GB2312"/>
          <w:sz w:val="32"/>
        </w:rPr>
      </w:pPr>
    </w:p>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第一部分  单位概况</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一、单位主要职责</w:t>
      </w:r>
    </w:p>
    <w:p>
      <w:pPr>
        <w:spacing w:beforeLines="0" w:afterLines="0" w:line="555" w:lineRule="exact"/>
        <w:jc w:val="both"/>
        <w:rPr>
          <w:rFonts w:hint="eastAsia" w:ascii="黑体" w:hAnsi="黑体" w:eastAsia="黑体"/>
          <w:sz w:val="32"/>
        </w:rPr>
      </w:pPr>
      <w:r>
        <w:rPr>
          <w:rFonts w:hint="eastAsia" w:ascii="仿宋_GB2312" w:hAnsi="仿宋_GB2312" w:eastAsia="仿宋_GB2312"/>
          <w:sz w:val="32"/>
        </w:rPr>
        <w:t>　　</w:t>
      </w:r>
      <w:r>
        <w:rPr>
          <w:rFonts w:hint="eastAsia" w:ascii="仿宋" w:hAnsi="仿宋" w:eastAsia="仿宋"/>
          <w:sz w:val="32"/>
          <w:lang w:val="en-US" w:eastAsia="zh-CN"/>
        </w:rPr>
        <w:t>厦门市南山实验幼儿园是一所公办幼儿园，隶属于湖里区教育局，</w:t>
      </w:r>
      <w:r>
        <w:rPr>
          <w:rFonts w:hint="eastAsia" w:ascii="仿宋" w:hAnsi="仿宋" w:eastAsia="仿宋"/>
          <w:sz w:val="32"/>
        </w:rPr>
        <w:t>主要职责是为学龄前儿童提供保育和教育服务。</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二、单位基本情况</w:t>
      </w:r>
    </w:p>
    <w:p>
      <w:pPr>
        <w:spacing w:beforeLines="0" w:afterLines="0" w:line="555" w:lineRule="exact"/>
        <w:jc w:val="both"/>
        <w:rPr>
          <w:rFonts w:hint="eastAsia" w:ascii="仿宋_GB2312" w:hAnsi="仿宋_GB2312" w:eastAsia="仿宋_GB2312"/>
          <w:sz w:val="24"/>
        </w:rPr>
      </w:pPr>
      <w:r>
        <w:rPr>
          <w:rFonts w:hint="eastAsia" w:ascii="仿宋_GB2312" w:hAnsi="仿宋_GB2312" w:eastAsia="仿宋_GB2312"/>
          <w:sz w:val="32"/>
        </w:rPr>
        <w:t>　　厦门市南山实验幼儿园内设</w:t>
      </w:r>
      <w:r>
        <w:rPr>
          <w:rFonts w:hint="eastAsia" w:ascii="仿宋_GB2312" w:hAnsi="仿宋_GB2312" w:eastAsia="仿宋_GB2312"/>
          <w:sz w:val="32"/>
          <w:lang w:val="en-US" w:eastAsia="zh-CN"/>
        </w:rPr>
        <w:t>2</w:t>
      </w:r>
      <w:r>
        <w:rPr>
          <w:rFonts w:hint="eastAsia" w:ascii="仿宋_GB2312" w:hAnsi="仿宋_GB2312" w:eastAsia="仿宋_GB2312"/>
          <w:sz w:val="32"/>
        </w:rPr>
        <w:t>个处室/科室</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包括园长办公室和总务科。</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三、单位主要工作任务</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2026年，厦门市南山实验幼儿园主要任务是：</w:t>
      </w:r>
    </w:p>
    <w:p>
      <w:pPr>
        <w:spacing w:beforeLines="0" w:afterLines="0" w:line="555" w:lineRule="exact"/>
        <w:jc w:val="both"/>
        <w:rPr>
          <w:rFonts w:hint="eastAsia" w:ascii="仿宋" w:hAnsi="仿宋" w:eastAsia="仿宋"/>
          <w:color w:val="auto"/>
          <w:sz w:val="32"/>
          <w:lang w:val="en-US" w:eastAsia="zh-CN"/>
        </w:rPr>
      </w:pPr>
      <w:r>
        <w:rPr>
          <w:rFonts w:hint="eastAsia" w:ascii="仿宋_GB2312" w:hAnsi="仿宋_GB2312" w:eastAsia="仿宋_GB2312"/>
          <w:sz w:val="32"/>
        </w:rPr>
        <w:t>　　</w:t>
      </w:r>
      <w:r>
        <w:rPr>
          <w:rFonts w:hint="eastAsia" w:ascii="仿宋" w:hAnsi="仿宋" w:eastAsia="仿宋"/>
          <w:color w:val="auto"/>
          <w:sz w:val="32"/>
          <w:lang w:val="en-US" w:eastAsia="zh-CN"/>
        </w:rPr>
        <w:t>（一）筑牢党的建设根基，持续弘扬先锋作用。</w:t>
      </w:r>
    </w:p>
    <w:p>
      <w:pPr>
        <w:spacing w:beforeLines="0" w:afterLines="0" w:line="555" w:lineRule="exact"/>
        <w:jc w:val="both"/>
        <w:rPr>
          <w:rFonts w:hint="eastAsia" w:ascii="仿宋" w:hAnsi="仿宋" w:eastAsia="仿宋"/>
          <w:color w:val="auto"/>
          <w:sz w:val="32"/>
          <w:lang w:val="en-US" w:eastAsia="zh-CN"/>
        </w:rPr>
      </w:pPr>
      <w:r>
        <w:rPr>
          <w:rFonts w:hint="eastAsia" w:ascii="仿宋" w:hAnsi="仿宋" w:eastAsia="仿宋"/>
          <w:color w:val="auto"/>
          <w:sz w:val="32"/>
          <w:lang w:val="en-US" w:eastAsia="zh-CN"/>
        </w:rPr>
        <w:t>　　（二）构建人文管理机制，提升园所管理质量。</w:t>
      </w:r>
    </w:p>
    <w:p>
      <w:pPr>
        <w:spacing w:beforeLines="0" w:afterLines="0" w:line="555" w:lineRule="exact"/>
        <w:ind w:firstLine="640" w:firstLineChars="200"/>
        <w:jc w:val="both"/>
        <w:rPr>
          <w:rFonts w:hint="eastAsia" w:ascii="仿宋" w:hAnsi="仿宋" w:eastAsia="仿宋"/>
          <w:color w:val="auto"/>
          <w:sz w:val="32"/>
          <w:lang w:val="en-US" w:eastAsia="zh-CN"/>
        </w:rPr>
      </w:pPr>
      <w:r>
        <w:rPr>
          <w:rFonts w:hint="eastAsia" w:ascii="仿宋" w:hAnsi="仿宋" w:eastAsia="仿宋"/>
          <w:color w:val="auto"/>
          <w:sz w:val="32"/>
          <w:lang w:val="en-US" w:eastAsia="zh-CN"/>
        </w:rPr>
        <w:t>（三）夯实游戏化课程基础，推动教育质量提高。</w:t>
      </w:r>
    </w:p>
    <w:p>
      <w:pPr>
        <w:spacing w:beforeLines="0" w:afterLines="0" w:line="555" w:lineRule="exact"/>
        <w:jc w:val="both"/>
        <w:rPr>
          <w:rFonts w:hint="eastAsia" w:ascii="仿宋" w:hAnsi="仿宋" w:eastAsia="仿宋"/>
          <w:color w:val="auto"/>
          <w:sz w:val="32"/>
          <w:lang w:val="en-US" w:eastAsia="zh-CN"/>
        </w:rPr>
      </w:pPr>
      <w:r>
        <w:rPr>
          <w:rFonts w:hint="eastAsia" w:ascii="仿宋" w:hAnsi="仿宋" w:eastAsia="仿宋"/>
          <w:color w:val="auto"/>
          <w:sz w:val="32"/>
          <w:lang w:val="en-US" w:eastAsia="zh-CN"/>
        </w:rPr>
        <w:t xml:space="preserve">    （四）丰富园所游戏环境，强化环境教育功能。</w:t>
      </w:r>
    </w:p>
    <w:p>
      <w:pPr>
        <w:spacing w:beforeLines="0" w:afterLines="0" w:line="555" w:lineRule="exact"/>
        <w:ind w:firstLine="640" w:firstLineChars="200"/>
        <w:jc w:val="both"/>
        <w:rPr>
          <w:rFonts w:hint="eastAsia" w:ascii="仿宋" w:hAnsi="仿宋" w:eastAsia="仿宋"/>
          <w:color w:val="FF0000"/>
          <w:sz w:val="32"/>
          <w:lang w:val="en-US" w:eastAsia="zh-CN"/>
        </w:rPr>
      </w:pPr>
      <w:r>
        <w:rPr>
          <w:rFonts w:hint="eastAsia" w:ascii="仿宋" w:hAnsi="仿宋" w:eastAsia="仿宋"/>
          <w:color w:val="auto"/>
          <w:sz w:val="32"/>
          <w:lang w:val="en-US" w:eastAsia="zh-CN"/>
        </w:rPr>
        <w:t>（五）立足专题研训一体化，助力教工专业成长。</w:t>
      </w:r>
    </w:p>
    <w:p>
      <w:pPr>
        <w:spacing w:beforeLines="0" w:afterLines="0" w:line="555" w:lineRule="exact"/>
        <w:jc w:val="both"/>
        <w:rPr>
          <w:rFonts w:hint="eastAsia" w:ascii="仿宋" w:hAnsi="仿宋" w:eastAsia="仿宋"/>
          <w:color w:val="FF0000"/>
          <w:sz w:val="32"/>
          <w:lang w:val="en-US" w:eastAsia="zh-CN"/>
        </w:rPr>
      </w:pPr>
    </w:p>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第二部分  2026年单位预算说明</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一、2026年单位预算收支总体情况</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（一）厦门市南山实验幼儿园2026年收入预算为962.79万元，比2025年预算数</w:t>
      </w:r>
      <w:r>
        <w:rPr>
          <w:rFonts w:hint="eastAsia" w:ascii="仿宋_GB2312" w:hAnsi="仿宋_GB2312" w:eastAsia="仿宋_GB2312"/>
          <w:sz w:val="32"/>
          <w:lang w:eastAsia="zh-CN"/>
        </w:rPr>
        <w:t>减少</w:t>
      </w:r>
      <w:r>
        <w:rPr>
          <w:rFonts w:hint="eastAsia" w:ascii="仿宋_GB2312" w:hAnsi="仿宋_GB2312" w:eastAsia="仿宋_GB2312"/>
          <w:sz w:val="32"/>
          <w:lang w:val="en-US" w:eastAsia="zh-CN"/>
        </w:rPr>
        <w:t>49.57</w:t>
      </w:r>
      <w:r>
        <w:rPr>
          <w:rFonts w:hint="eastAsia" w:ascii="仿宋_GB2312" w:hAnsi="仿宋_GB2312" w:eastAsia="仿宋_GB2312"/>
          <w:sz w:val="32"/>
        </w:rPr>
        <w:t>万元，下降4.90％，具体情况如下：</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1.财政拨款收入962.79万元，其中一般公共预算拨款收入962.79万元，政府性基金拨款收入0.00万元，国有资本经营预算拨款收入0.00万元；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2.财政专户管理资金收入0.00万元；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3.事业收入0.00万元；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4.事业单位经营收入0.00万元；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5.上级补助收入0.00万元；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6.附属单位上缴收入0.00万元；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7.其他收入0.00万元；</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8.上年结转结余0.00万元。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（二）厦门市南山实验幼儿园2026年支出预算为962.79万元（不含市对区转移支付项目），比2025年预算数减少49.57万元，下降4.90％，具体情况如下：</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1.财政拨款基本支出962.79万元，其中，人员支出452.67万元，公用支出510.12万元；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2.财政拨款项目支出0.00万元；</w:t>
      </w:r>
    </w:p>
    <w:p>
      <w:pPr>
        <w:spacing w:beforeLines="0" w:afterLines="0" w:line="555" w:lineRule="exact"/>
        <w:jc w:val="both"/>
        <w:rPr>
          <w:rFonts w:hint="default" w:ascii="仿宋_GB2312" w:hAnsi="仿宋_GB2312" w:eastAsia="仿宋_GB2312"/>
          <w:sz w:val="32"/>
        </w:rPr>
      </w:pPr>
      <w:r>
        <w:rPr>
          <w:rFonts w:hint="eastAsia" w:ascii="仿宋_GB2312" w:hAnsi="仿宋_GB2312" w:eastAsia="仿宋_GB2312"/>
          <w:sz w:val="32"/>
        </w:rPr>
        <w:t>　　3.非财政拨款支出0.00万元。</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（三）厦门市南山实验幼儿园2026年区对镇（街）转移支付项目预算为</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二、一般公共预算财政拨款支出预算情况</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2026年度一般公共预算支出962.79万元（不含市对区转移支付项目），比2025年预算数减少49.57万元，下降4.90%，主要是由于</w:t>
      </w:r>
      <w:r>
        <w:rPr>
          <w:rFonts w:hint="eastAsia" w:ascii="仿宋_GB2312" w:hAnsi="仿宋_GB2312" w:eastAsia="仿宋_GB2312"/>
          <w:sz w:val="32"/>
          <w:lang w:val="en-US" w:eastAsia="zh-CN"/>
        </w:rPr>
        <w:t>2025年预算中包含专项经费，此经费为特定项目支出，2026年预算中无此对应项目</w:t>
      </w:r>
      <w:r>
        <w:rPr>
          <w:rFonts w:hint="eastAsia" w:ascii="仿宋_GB2312" w:hAnsi="仿宋_GB2312" w:eastAsia="仿宋_GB2312"/>
          <w:sz w:val="32"/>
        </w:rPr>
        <w:t>。支出项目(按项级科目分类统计)包括：</w:t>
      </w:r>
    </w:p>
    <w:p>
      <w:pPr>
        <w:spacing w:beforeLines="0" w:afterLines="0" w:line="555" w:lineRule="exact"/>
        <w:ind w:left="20"/>
        <w:jc w:val="both"/>
        <w:rPr>
          <w:rFonts w:hint="eastAsia" w:ascii="仿宋_GB2312" w:hAnsi="仿宋_GB2312" w:eastAsia="仿宋_GB2312"/>
          <w:sz w:val="32"/>
        </w:rPr>
      </w:pPr>
      <w:r>
        <w:rPr>
          <w:rFonts w:hint="eastAsia" w:ascii="仿宋_GB2312" w:hAnsi="仿宋_GB2312" w:eastAsia="仿宋_GB2312"/>
          <w:sz w:val="32"/>
        </w:rPr>
        <w:t>　　1.教育支出（类）普通教育（款）学前教育（项）888.99万元。主要</w:t>
      </w:r>
      <w:r>
        <w:rPr>
          <w:rFonts w:hint="eastAsia" w:ascii="仿宋_GB2312" w:hAnsi="Times New Roman" w:eastAsia="仿宋_GB2312"/>
          <w:color w:val="auto"/>
          <w:sz w:val="32"/>
        </w:rPr>
        <w:t>用于</w:t>
      </w:r>
      <w:r>
        <w:rPr>
          <w:rFonts w:hint="eastAsia" w:ascii="仿宋" w:hAnsi="仿宋" w:eastAsia="仿宋"/>
          <w:color w:val="auto"/>
          <w:sz w:val="32"/>
        </w:rPr>
        <w:t>学校日常运行支出</w:t>
      </w:r>
      <w:r>
        <w:rPr>
          <w:rFonts w:hint="eastAsia" w:ascii="仿宋_GB2312" w:hAnsi="仿宋_GB2312" w:eastAsia="仿宋_GB2312"/>
          <w:sz w:val="32"/>
        </w:rPr>
        <w:t>。</w:t>
      </w:r>
    </w:p>
    <w:p>
      <w:pPr>
        <w:spacing w:beforeLines="0" w:afterLines="0" w:line="555" w:lineRule="exact"/>
        <w:ind w:left="20"/>
        <w:jc w:val="both"/>
        <w:rPr>
          <w:rFonts w:hint="eastAsia" w:ascii="仿宋_GB2312" w:hAnsi="仿宋_GB2312" w:eastAsia="仿宋_GB2312"/>
          <w:sz w:val="32"/>
        </w:rPr>
      </w:pPr>
      <w:r>
        <w:rPr>
          <w:rFonts w:hint="eastAsia" w:ascii="仿宋_GB2312" w:hAnsi="仿宋_GB2312" w:eastAsia="仿宋_GB2312"/>
          <w:sz w:val="32"/>
        </w:rPr>
        <w:t>　　2.社会保障和就业支出（类）行政事业单位养老支出（款）机关事业单位基本养老保险缴费支出（项）34.38万元。主要用于</w:t>
      </w:r>
      <w:r>
        <w:rPr>
          <w:rFonts w:hint="eastAsia" w:ascii="仿宋_GB2312" w:hAnsi="仿宋" w:eastAsia="仿宋_GB2312"/>
          <w:color w:val="auto"/>
          <w:sz w:val="32"/>
        </w:rPr>
        <w:t>机关事业单位基本养老保险缴费</w:t>
      </w:r>
      <w:r>
        <w:rPr>
          <w:rFonts w:hint="eastAsia" w:ascii="仿宋_GB2312" w:hAnsi="仿宋_GB2312" w:eastAsia="仿宋_GB2312"/>
          <w:sz w:val="32"/>
        </w:rPr>
        <w:t>支出。</w:t>
      </w:r>
    </w:p>
    <w:p>
      <w:pPr>
        <w:spacing w:beforeLines="0" w:afterLines="0" w:line="555" w:lineRule="exact"/>
        <w:ind w:left="20"/>
        <w:jc w:val="both"/>
        <w:rPr>
          <w:rFonts w:hint="eastAsia" w:ascii="仿宋_GB2312" w:hAnsi="仿宋_GB2312" w:eastAsia="仿宋_GB2312"/>
          <w:sz w:val="32"/>
        </w:rPr>
      </w:pPr>
      <w:r>
        <w:rPr>
          <w:rFonts w:hint="eastAsia" w:ascii="仿宋_GB2312" w:hAnsi="仿宋_GB2312" w:eastAsia="仿宋_GB2312"/>
          <w:sz w:val="32"/>
        </w:rPr>
        <w:t>　　3.社会保障和就业支出（类）行政事业单位养老支出（款）机关事业单位职业年金缴费支出（项）17.19万元。主要用于</w:t>
      </w:r>
      <w:r>
        <w:rPr>
          <w:rFonts w:hint="eastAsia" w:ascii="仿宋_GB2312" w:hAnsi="Times New Roman" w:eastAsia="仿宋_GB2312"/>
          <w:color w:val="auto"/>
          <w:sz w:val="32"/>
        </w:rPr>
        <w:t>机关事业单位职业年金缴费</w:t>
      </w:r>
      <w:r>
        <w:rPr>
          <w:rFonts w:hint="eastAsia" w:ascii="仿宋_GB2312" w:hAnsi="仿宋_GB2312" w:eastAsia="仿宋_GB2312"/>
          <w:sz w:val="32"/>
        </w:rPr>
        <w:t>支出。</w:t>
      </w:r>
    </w:p>
    <w:p>
      <w:pPr>
        <w:spacing w:beforeLines="0" w:afterLines="0" w:line="555" w:lineRule="exact"/>
        <w:ind w:left="20"/>
        <w:jc w:val="both"/>
        <w:rPr>
          <w:rFonts w:hint="eastAsia" w:ascii="仿宋_GB2312" w:hAnsi="仿宋_GB2312" w:eastAsia="仿宋_GB2312"/>
          <w:sz w:val="32"/>
        </w:rPr>
      </w:pPr>
      <w:r>
        <w:rPr>
          <w:rFonts w:hint="eastAsia" w:ascii="仿宋_GB2312" w:hAnsi="仿宋_GB2312" w:eastAsia="仿宋_GB2312"/>
          <w:sz w:val="32"/>
        </w:rPr>
        <w:t>　　4.卫生健康支出（类）行政事业单位医疗（款）事业单位医疗（项）14.72万元。主要用于</w:t>
      </w:r>
      <w:r>
        <w:rPr>
          <w:rFonts w:hint="eastAsia" w:ascii="仿宋" w:hAnsi="仿宋" w:eastAsia="仿宋"/>
          <w:color w:val="auto"/>
          <w:sz w:val="32"/>
        </w:rPr>
        <w:t>事业单位医疗补助</w:t>
      </w:r>
      <w:r>
        <w:rPr>
          <w:rFonts w:hint="eastAsia" w:ascii="仿宋_GB2312" w:hAnsi="仿宋_GB2312" w:eastAsia="仿宋_GB2312"/>
          <w:sz w:val="32"/>
        </w:rPr>
        <w:t>支出。</w:t>
      </w:r>
    </w:p>
    <w:p>
      <w:pPr>
        <w:spacing w:beforeLines="0" w:afterLines="0" w:line="555" w:lineRule="exact"/>
        <w:ind w:left="20"/>
        <w:jc w:val="both"/>
        <w:rPr>
          <w:rFonts w:hint="eastAsia" w:ascii="仿宋_GB2312" w:hAnsi="仿宋_GB2312" w:eastAsia="仿宋_GB2312"/>
          <w:sz w:val="32"/>
        </w:rPr>
      </w:pPr>
      <w:r>
        <w:rPr>
          <w:rFonts w:hint="eastAsia" w:ascii="仿宋_GB2312" w:hAnsi="仿宋_GB2312" w:eastAsia="仿宋_GB2312"/>
          <w:sz w:val="32"/>
        </w:rPr>
        <w:t>　　5.卫生健康支出（类）行政事业单位医疗（款）其他行政事业单位医疗支出（项）7.52万元。主要用于</w:t>
      </w:r>
      <w:r>
        <w:rPr>
          <w:rFonts w:hint="eastAsia" w:ascii="仿宋_GB2312" w:hAnsi="Times New Roman" w:eastAsia="仿宋_GB2312"/>
          <w:color w:val="auto"/>
          <w:sz w:val="32"/>
        </w:rPr>
        <w:t>其他行政事业单位医疗</w:t>
      </w:r>
      <w:r>
        <w:rPr>
          <w:rFonts w:hint="eastAsia" w:ascii="仿宋_GB2312" w:hAnsi="仿宋_GB2312" w:eastAsia="仿宋_GB2312"/>
          <w:sz w:val="32"/>
        </w:rPr>
        <w:t>支出。</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三、政府性基金预算财政拨款支出情况</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2026年度政府性基金支出0.00万元（不含市对区转移支付项目），比2025年预算数增加0.00万元，增长0%，主要</w:t>
      </w:r>
      <w:r>
        <w:rPr>
          <w:rFonts w:hint="eastAsia" w:ascii="仿宋_GB2312" w:hAnsi="仿宋_GB2312" w:eastAsia="仿宋_GB2312"/>
          <w:sz w:val="32"/>
          <w:lang w:eastAsia="zh-CN"/>
        </w:rPr>
        <w:t>原因</w:t>
      </w:r>
      <w:r>
        <w:rPr>
          <w:rFonts w:hint="eastAsia" w:ascii="仿宋_GB2312" w:hAnsi="仿宋_GB2312" w:eastAsia="仿宋_GB2312"/>
          <w:sz w:val="32"/>
        </w:rPr>
        <w:t>是</w:t>
      </w:r>
      <w:r>
        <w:rPr>
          <w:rFonts w:hint="eastAsia" w:ascii="仿宋_GB2312" w:hAnsi="??_GB2312" w:eastAsia="仿宋_GB2312"/>
          <w:color w:val="auto"/>
          <w:sz w:val="32"/>
        </w:rPr>
        <w:t>202</w:t>
      </w:r>
      <w:r>
        <w:rPr>
          <w:rFonts w:hint="eastAsia" w:ascii="仿宋_GB2312" w:hAnsi="??_GB2312" w:eastAsia="仿宋_GB2312"/>
          <w:color w:val="auto"/>
          <w:sz w:val="32"/>
          <w:lang w:val="en-US" w:eastAsia="zh-CN"/>
        </w:rPr>
        <w:t>6</w:t>
      </w:r>
      <w:r>
        <w:rPr>
          <w:rFonts w:hint="eastAsia" w:ascii="仿宋_GB2312" w:hAnsi="??_GB2312" w:eastAsia="仿宋_GB2312"/>
          <w:color w:val="auto"/>
          <w:sz w:val="32"/>
        </w:rPr>
        <w:t>年</w:t>
      </w:r>
      <w:r>
        <w:rPr>
          <w:rFonts w:hint="eastAsia" w:ascii="仿宋" w:hAnsi="仿宋" w:eastAsia="仿宋"/>
          <w:color w:val="auto"/>
          <w:sz w:val="32"/>
        </w:rPr>
        <w:t>没有政府性基金预算拨款</w:t>
      </w:r>
      <w:r>
        <w:rPr>
          <w:rFonts w:hint="eastAsia" w:ascii="仿宋_GB2312" w:hAnsi="仿宋_GB2312" w:eastAsia="仿宋_GB2312"/>
          <w:sz w:val="32"/>
        </w:rPr>
        <w:t>。</w:t>
      </w:r>
    </w:p>
    <w:p>
      <w:pPr>
        <w:spacing w:beforeLines="0" w:afterLines="0" w:line="555" w:lineRule="exact"/>
        <w:jc w:val="both"/>
        <w:rPr>
          <w:rFonts w:hint="default" w:ascii="仿宋_GB2312" w:hAnsi="仿宋_GB2312" w:eastAsia="仿宋_GB2312"/>
          <w:sz w:val="32"/>
        </w:rPr>
      </w:pPr>
      <w:r>
        <w:rPr>
          <w:rFonts w:hint="eastAsia" w:ascii="黑体" w:hAnsi="黑体" w:eastAsia="黑体"/>
          <w:sz w:val="32"/>
        </w:rPr>
        <w:t>　　四、“三公”经费财政拨款预算情况</w:t>
      </w:r>
    </w:p>
    <w:p>
      <w:pPr>
        <w:spacing w:beforeLines="0" w:afterLines="0" w:line="555" w:lineRule="exact"/>
        <w:ind w:firstLine="651"/>
        <w:jc w:val="both"/>
        <w:rPr>
          <w:rFonts w:hint="eastAsia" w:ascii="仿宋_GB2312" w:hAnsi="仿宋_GB2312" w:eastAsia="仿宋_GB2312"/>
          <w:sz w:val="32"/>
        </w:rPr>
      </w:pPr>
      <w:r>
        <w:rPr>
          <w:rFonts w:hint="eastAsia" w:ascii="仿宋_GB2312" w:hAnsi="仿宋_GB2312" w:eastAsia="仿宋_GB2312"/>
          <w:sz w:val="32"/>
        </w:rPr>
        <w:t>厦门市南山实验幼儿园单位2026年“三公”经费财政拨款预算数为0.00万元，其中：因公出国（境）经费0.00万元，公务接待费0.00万元，公务用车购置及运行费0.00万元。具体情况如下：</w:t>
      </w:r>
    </w:p>
    <w:p>
      <w:pPr>
        <w:spacing w:beforeLines="0" w:afterLines="0" w:line="555" w:lineRule="exact"/>
        <w:ind w:firstLine="651"/>
        <w:jc w:val="both"/>
        <w:rPr>
          <w:rFonts w:hint="eastAsia" w:ascii="仿宋_GB2312" w:hAnsi="仿宋_GB2312" w:eastAsia="仿宋_GB2312"/>
          <w:sz w:val="32"/>
        </w:rPr>
      </w:pPr>
      <w:r>
        <w:rPr>
          <w:rFonts w:hint="eastAsia" w:ascii="楷体_GB2312" w:hAnsi="楷体_GB2312" w:eastAsia="楷体_GB2312"/>
          <w:sz w:val="32"/>
        </w:rPr>
        <w:t>（一）因公出国（境）经费</w:t>
      </w:r>
    </w:p>
    <w:p>
      <w:pPr>
        <w:spacing w:beforeLines="0" w:afterLines="0" w:line="555" w:lineRule="exact"/>
        <w:jc w:val="both"/>
        <w:rPr>
          <w:rFonts w:hint="eastAsia" w:ascii="楷体" w:hAnsi="楷体" w:eastAsia="楷体"/>
          <w:sz w:val="32"/>
        </w:rPr>
      </w:pPr>
      <w:r>
        <w:rPr>
          <w:rFonts w:hint="eastAsia" w:ascii="仿宋_GB2312" w:hAnsi="仿宋_GB2312" w:eastAsia="仿宋_GB2312"/>
          <w:sz w:val="32"/>
        </w:rPr>
        <w:t>　　202</w:t>
      </w:r>
      <w:r>
        <w:rPr>
          <w:rFonts w:hint="eastAsia" w:ascii="仿宋_GB2312" w:hAnsi="仿宋_GB2312" w:eastAsia="仿宋_GB2312"/>
          <w:sz w:val="32"/>
          <w:lang w:val="en-US" w:eastAsia="zh-CN"/>
        </w:rPr>
        <w:t>6</w:t>
      </w:r>
      <w:r>
        <w:rPr>
          <w:rFonts w:hint="eastAsia" w:ascii="仿宋_GB2312" w:hAnsi="仿宋_GB2312" w:eastAsia="仿宋_GB2312"/>
          <w:sz w:val="32"/>
        </w:rPr>
        <w:t>年预算安排0.00万元。</w:t>
      </w:r>
      <w:r>
        <w:rPr>
          <w:rFonts w:hint="eastAsia" w:ascii="仿宋_GB2312" w:hAnsi="??_GB2312" w:eastAsia="仿宋_GB2312"/>
          <w:color w:val="auto"/>
          <w:sz w:val="32"/>
        </w:rPr>
        <w:t>与上年预算相比下降0%</w:t>
      </w:r>
      <w:r>
        <w:rPr>
          <w:rFonts w:hint="eastAsia" w:ascii="仿宋_GB2312" w:hAnsi="??_GB2312" w:eastAsia="仿宋_GB2312"/>
          <w:color w:val="auto"/>
          <w:sz w:val="32"/>
          <w:lang w:eastAsia="zh-CN"/>
        </w:rPr>
        <w:t>，</w:t>
      </w:r>
      <w:r>
        <w:rPr>
          <w:rFonts w:hint="eastAsia" w:ascii="仿宋_GB2312" w:hAnsi="??_GB2312" w:eastAsia="仿宋_GB2312"/>
          <w:color w:val="auto"/>
          <w:sz w:val="32"/>
        </w:rPr>
        <w:t>主要原因是:</w:t>
      </w:r>
      <w:r>
        <w:rPr>
          <w:rFonts w:hint="eastAsia" w:ascii="仿宋" w:hAnsi="仿宋" w:eastAsia="仿宋"/>
          <w:color w:val="auto"/>
          <w:sz w:val="32"/>
        </w:rPr>
        <w:t xml:space="preserve"> 202</w:t>
      </w:r>
      <w:r>
        <w:rPr>
          <w:rFonts w:hint="eastAsia" w:ascii="仿宋" w:hAnsi="仿宋" w:eastAsia="仿宋"/>
          <w:color w:val="auto"/>
          <w:sz w:val="32"/>
          <w:lang w:val="en-US" w:eastAsia="zh-CN"/>
        </w:rPr>
        <w:t>6</w:t>
      </w:r>
      <w:r>
        <w:rPr>
          <w:rFonts w:hint="eastAsia" w:ascii="仿宋" w:hAnsi="仿宋" w:eastAsia="仿宋"/>
          <w:color w:val="auto"/>
          <w:sz w:val="32"/>
        </w:rPr>
        <w:t>年没</w:t>
      </w:r>
      <w:r>
        <w:rPr>
          <w:rFonts w:hint="eastAsia" w:ascii="仿宋" w:hAnsi="仿宋" w:eastAsia="仿宋"/>
          <w:color w:val="auto"/>
          <w:sz w:val="32"/>
          <w:lang w:val="en-US" w:eastAsia="zh-CN"/>
        </w:rPr>
        <w:t>有因公出国（境）活动安排，无</w:t>
      </w:r>
      <w:r>
        <w:rPr>
          <w:rFonts w:hint="eastAsia" w:ascii="仿宋" w:hAnsi="仿宋" w:eastAsia="仿宋"/>
          <w:color w:val="auto"/>
          <w:sz w:val="32"/>
        </w:rPr>
        <w:t>此项经费预算</w:t>
      </w:r>
      <w:r>
        <w:rPr>
          <w:rFonts w:hint="eastAsia" w:ascii="仿宋_GB2312" w:hAnsi="仿宋_GB2312" w:eastAsia="仿宋_GB2312"/>
          <w:sz w:val="24"/>
        </w:rPr>
        <w:t>。</w:t>
      </w:r>
    </w:p>
    <w:p>
      <w:pPr>
        <w:spacing w:beforeLines="0" w:afterLines="0" w:line="555" w:lineRule="exact"/>
        <w:jc w:val="both"/>
        <w:rPr>
          <w:rFonts w:hint="eastAsia" w:ascii="仿宋_GB2312" w:hAnsi="仿宋_GB2312" w:eastAsia="仿宋_GB2312"/>
          <w:sz w:val="32"/>
        </w:rPr>
      </w:pPr>
      <w:r>
        <w:rPr>
          <w:rFonts w:hint="eastAsia" w:ascii="楷体_GB2312" w:hAnsi="楷体_GB2312" w:eastAsia="楷体_GB2312"/>
          <w:sz w:val="32"/>
        </w:rPr>
        <w:t>　　（二）公务接待费</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202</w:t>
      </w:r>
      <w:r>
        <w:rPr>
          <w:rFonts w:hint="eastAsia" w:ascii="仿宋_GB2312" w:hAnsi="仿宋_GB2312" w:eastAsia="仿宋_GB2312"/>
          <w:sz w:val="32"/>
          <w:lang w:val="en-US" w:eastAsia="zh-CN"/>
        </w:rPr>
        <w:t>6</w:t>
      </w:r>
      <w:r>
        <w:rPr>
          <w:rFonts w:hint="eastAsia" w:ascii="仿宋_GB2312" w:hAnsi="仿宋_GB2312" w:eastAsia="仿宋_GB2312"/>
          <w:sz w:val="32"/>
        </w:rPr>
        <w:t>年预算安排0.00万元。</w:t>
      </w:r>
      <w:r>
        <w:rPr>
          <w:rFonts w:hint="eastAsia" w:ascii="仿宋_GB2312" w:hAnsi="??_GB2312" w:eastAsia="仿宋_GB2312"/>
          <w:color w:val="auto"/>
          <w:sz w:val="32"/>
        </w:rPr>
        <w:t>与上年预算相比下降0%，主要原因是:</w:t>
      </w:r>
      <w:r>
        <w:rPr>
          <w:rFonts w:hint="eastAsia" w:ascii="仿宋" w:hAnsi="仿宋" w:eastAsia="仿宋"/>
          <w:color w:val="auto"/>
          <w:sz w:val="32"/>
        </w:rPr>
        <w:t xml:space="preserve"> 202</w:t>
      </w:r>
      <w:r>
        <w:rPr>
          <w:rFonts w:hint="eastAsia" w:ascii="仿宋" w:hAnsi="仿宋" w:eastAsia="仿宋"/>
          <w:color w:val="auto"/>
          <w:sz w:val="32"/>
          <w:lang w:val="en-US" w:eastAsia="zh-CN"/>
        </w:rPr>
        <w:t>6</w:t>
      </w:r>
      <w:r>
        <w:rPr>
          <w:rFonts w:hint="eastAsia" w:ascii="仿宋" w:hAnsi="仿宋" w:eastAsia="仿宋"/>
          <w:color w:val="auto"/>
          <w:sz w:val="32"/>
        </w:rPr>
        <w:t>年没</w:t>
      </w:r>
      <w:r>
        <w:rPr>
          <w:rFonts w:hint="eastAsia" w:ascii="仿宋" w:hAnsi="仿宋" w:eastAsia="仿宋"/>
          <w:color w:val="auto"/>
          <w:sz w:val="32"/>
          <w:lang w:val="en-US" w:eastAsia="zh-CN"/>
        </w:rPr>
        <w:t>有公务接待安排，无</w:t>
      </w:r>
      <w:r>
        <w:rPr>
          <w:rFonts w:hint="eastAsia" w:ascii="仿宋" w:hAnsi="仿宋" w:eastAsia="仿宋"/>
          <w:color w:val="auto"/>
          <w:sz w:val="32"/>
        </w:rPr>
        <w:t>此项经费预算</w:t>
      </w:r>
      <w:r>
        <w:rPr>
          <w:rFonts w:hint="eastAsia" w:ascii="仿宋_GB2312" w:hAnsi="仿宋_GB2312" w:eastAsia="仿宋_GB2312"/>
          <w:sz w:val="32"/>
        </w:rPr>
        <w:t>。</w:t>
      </w:r>
    </w:p>
    <w:p>
      <w:pPr>
        <w:spacing w:beforeLines="0" w:afterLines="0" w:line="555" w:lineRule="exact"/>
        <w:jc w:val="both"/>
        <w:rPr>
          <w:rFonts w:hint="eastAsia" w:ascii="仿宋_GB2312" w:hAnsi="仿宋_GB2312" w:eastAsia="仿宋_GB2312"/>
          <w:sz w:val="32"/>
        </w:rPr>
      </w:pPr>
      <w:r>
        <w:rPr>
          <w:rFonts w:hint="eastAsia" w:ascii="楷体_GB2312" w:hAnsi="楷体_GB2312" w:eastAsia="楷体_GB2312"/>
          <w:sz w:val="32"/>
        </w:rPr>
        <w:t>　　（三）公务用车购置及运行费</w:t>
      </w:r>
    </w:p>
    <w:p>
      <w:pPr>
        <w:spacing w:beforeLines="0" w:afterLines="0" w:line="555" w:lineRule="exact"/>
        <w:jc w:val="both"/>
        <w:rPr>
          <w:rFonts w:hint="eastAsia" w:ascii="仿宋_GB2312" w:hAnsi="仿宋_GB2312" w:eastAsia="仿宋_GB2312"/>
          <w:sz w:val="32"/>
        </w:rPr>
      </w:pPr>
      <w:r>
        <w:rPr>
          <w:rFonts w:hint="eastAsia" w:ascii="仿宋_GB2312" w:hAnsi="仿宋_GB2312" w:eastAsia="仿宋_GB2312"/>
          <w:sz w:val="32"/>
        </w:rPr>
        <w:t>　　202</w:t>
      </w:r>
      <w:r>
        <w:rPr>
          <w:rFonts w:hint="eastAsia" w:ascii="仿宋_GB2312" w:hAnsi="仿宋_GB2312" w:eastAsia="仿宋_GB2312"/>
          <w:sz w:val="32"/>
          <w:lang w:val="en-US" w:eastAsia="zh-CN"/>
        </w:rPr>
        <w:t>6</w:t>
      </w:r>
      <w:r>
        <w:rPr>
          <w:rFonts w:hint="eastAsia" w:ascii="仿宋_GB2312" w:hAnsi="仿宋_GB2312" w:eastAsia="仿宋_GB2312"/>
          <w:sz w:val="32"/>
        </w:rPr>
        <w:t>年预算安排0.00万元，其中：公务用车运行费0.00万元；公务用车购置费0.00万元。</w:t>
      </w:r>
      <w:r>
        <w:rPr>
          <w:rFonts w:hint="eastAsia" w:ascii="仿宋_GB2312" w:hAnsi="??_GB2312" w:eastAsia="仿宋_GB2312"/>
          <w:color w:val="auto"/>
          <w:sz w:val="32"/>
        </w:rPr>
        <w:t>与上年预算相比下降0%，主要原因是:</w:t>
      </w:r>
      <w:r>
        <w:rPr>
          <w:rFonts w:hint="eastAsia" w:ascii="仿宋" w:hAnsi="仿宋" w:eastAsia="仿宋"/>
          <w:color w:val="auto"/>
          <w:sz w:val="32"/>
        </w:rPr>
        <w:t xml:space="preserve"> </w:t>
      </w:r>
      <w:r>
        <w:rPr>
          <w:rFonts w:hint="eastAsia" w:ascii="仿宋" w:hAnsi="仿宋" w:eastAsia="仿宋"/>
          <w:color w:val="auto"/>
          <w:sz w:val="32"/>
          <w:lang w:eastAsia="zh-CN"/>
        </w:rPr>
        <w:t>本单位无公务车辆，</w:t>
      </w:r>
      <w:r>
        <w:rPr>
          <w:rFonts w:hint="eastAsia" w:ascii="仿宋" w:hAnsi="仿宋" w:eastAsia="仿宋"/>
          <w:color w:val="auto"/>
          <w:sz w:val="32"/>
        </w:rPr>
        <w:t>202</w:t>
      </w:r>
      <w:r>
        <w:rPr>
          <w:rFonts w:hint="eastAsia" w:ascii="仿宋" w:hAnsi="仿宋" w:eastAsia="仿宋"/>
          <w:color w:val="auto"/>
          <w:sz w:val="32"/>
          <w:lang w:val="en-US" w:eastAsia="zh-CN"/>
        </w:rPr>
        <w:t>6</w:t>
      </w:r>
      <w:r>
        <w:rPr>
          <w:rFonts w:hint="eastAsia" w:ascii="仿宋" w:hAnsi="仿宋" w:eastAsia="仿宋"/>
          <w:color w:val="auto"/>
          <w:sz w:val="32"/>
        </w:rPr>
        <w:t>年没</w:t>
      </w:r>
      <w:r>
        <w:rPr>
          <w:rFonts w:hint="eastAsia" w:ascii="仿宋" w:hAnsi="仿宋" w:eastAsia="仿宋"/>
          <w:color w:val="auto"/>
          <w:sz w:val="32"/>
          <w:lang w:val="en-US" w:eastAsia="zh-CN"/>
        </w:rPr>
        <w:t>有</w:t>
      </w:r>
      <w:r>
        <w:rPr>
          <w:rFonts w:hint="eastAsia" w:ascii="仿宋" w:hAnsi="仿宋" w:eastAsia="仿宋"/>
          <w:color w:val="auto"/>
          <w:sz w:val="32"/>
        </w:rPr>
        <w:t>此项经费预算</w:t>
      </w:r>
      <w:r>
        <w:rPr>
          <w:rFonts w:hint="eastAsia" w:ascii="仿宋_GB2312" w:hAnsi="仿宋_GB2312" w:eastAsia="仿宋_GB2312"/>
          <w:sz w:val="32"/>
        </w:rPr>
        <w:t>。</w:t>
      </w:r>
    </w:p>
    <w:p>
      <w:pPr>
        <w:spacing w:beforeLines="0" w:afterLines="0" w:line="555" w:lineRule="exact"/>
        <w:jc w:val="both"/>
        <w:rPr>
          <w:rFonts w:hint="default" w:ascii="华文仿宋" w:hAnsi="华文仿宋" w:eastAsia="华文仿宋"/>
          <w:sz w:val="32"/>
        </w:rPr>
      </w:pPr>
      <w:r>
        <w:rPr>
          <w:rFonts w:hint="eastAsia" w:ascii="黑体" w:hAnsi="黑体" w:eastAsia="黑体"/>
          <w:sz w:val="32"/>
        </w:rPr>
        <w:t>　　五、其他重要事项的情况说明</w:t>
      </w:r>
    </w:p>
    <w:p>
      <w:pPr>
        <w:spacing w:beforeLines="0" w:afterLines="0" w:line="555" w:lineRule="exact"/>
        <w:jc w:val="both"/>
        <w:rPr>
          <w:rFonts w:hint="default"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（一）机关运行经费</w:t>
      </w:r>
    </w:p>
    <w:p>
      <w:pPr>
        <w:spacing w:beforeLines="0" w:afterLines="0" w:line="555" w:lineRule="exact"/>
        <w:jc w:val="both"/>
        <w:rPr>
          <w:rFonts w:hint="default" w:ascii="华文仿宋" w:hAnsi="华文仿宋" w:eastAsia="华文仿宋"/>
          <w:sz w:val="32"/>
        </w:rPr>
      </w:pPr>
      <w:r>
        <w:rPr>
          <w:rFonts w:hint="eastAsia" w:ascii="仿宋_GB2312" w:hAnsi="仿宋_GB2312" w:eastAsia="仿宋_GB2312"/>
          <w:sz w:val="32"/>
        </w:rPr>
        <w:t>　　2026年厦门市南山实验幼儿园的机关运行经费财政拨款预算</w:t>
      </w:r>
      <w:r>
        <w:rPr>
          <w:rFonts w:hint="eastAsia" w:ascii="仿宋_GB2312" w:hAnsi="仿宋_GB2312" w:eastAsia="仿宋_GB2312"/>
          <w:sz w:val="32"/>
          <w:lang w:val="en-US" w:eastAsia="zh-CN"/>
        </w:rPr>
        <w:t>0</w:t>
      </w:r>
      <w:r>
        <w:rPr>
          <w:rFonts w:hint="eastAsia" w:ascii="仿宋_GB2312" w:hAnsi="仿宋_GB2312" w:eastAsia="仿宋_GB2312"/>
          <w:sz w:val="32"/>
        </w:rPr>
        <w:t>万元，比2025年预算减少（增加）</w:t>
      </w:r>
      <w:r>
        <w:rPr>
          <w:rFonts w:hint="eastAsia" w:ascii="仿宋_GB2312" w:hAnsi="仿宋_GB2312" w:eastAsia="仿宋_GB2312"/>
          <w:sz w:val="32"/>
          <w:lang w:val="en-US" w:eastAsia="zh-CN"/>
        </w:rPr>
        <w:t>0</w:t>
      </w:r>
      <w:r>
        <w:rPr>
          <w:rFonts w:hint="eastAsia" w:ascii="仿宋_GB2312" w:hAnsi="仿宋_GB2312" w:eastAsia="仿宋_GB2312"/>
          <w:sz w:val="32"/>
        </w:rPr>
        <w:t>万元，下降（增长）</w:t>
      </w:r>
      <w:r>
        <w:rPr>
          <w:rFonts w:hint="eastAsia" w:ascii="仿宋_GB2312" w:hAnsi="仿宋_GB2312" w:eastAsia="仿宋_GB2312"/>
          <w:sz w:val="32"/>
          <w:lang w:val="en-US" w:eastAsia="zh-CN"/>
        </w:rPr>
        <w:t>0</w:t>
      </w:r>
      <w:r>
        <w:rPr>
          <w:rFonts w:hint="eastAsia" w:ascii="仿宋_GB2312" w:hAnsi="仿宋_GB2312" w:eastAsia="仿宋_GB2312"/>
          <w:sz w:val="32"/>
        </w:rPr>
        <w:t>%。</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_GB2312" w:hAnsi="仿宋_GB2312" w:eastAsia="仿宋_GB2312"/>
          <w:sz w:val="32"/>
        </w:rPr>
        <w:t>为事业单位，</w:t>
      </w:r>
      <w:r>
        <w:rPr>
          <w:rFonts w:hint="eastAsia" w:ascii="仿宋_GB2312" w:hAnsi="仿宋_GB2312" w:eastAsia="仿宋_GB2312"/>
          <w:sz w:val="32"/>
          <w:lang w:val="en-US" w:eastAsia="zh-CN"/>
        </w:rPr>
        <w:t>2026年</w:t>
      </w:r>
      <w:r>
        <w:rPr>
          <w:rFonts w:hint="eastAsia" w:ascii="仿宋_GB2312" w:hAnsi="仿宋_GB2312" w:eastAsia="仿宋_GB2312"/>
          <w:sz w:val="32"/>
        </w:rPr>
        <w:t>没有机</w:t>
      </w:r>
      <w:r>
        <w:rPr>
          <w:rFonts w:hint="eastAsia" w:ascii="仿宋" w:hAnsi="仿宋" w:eastAsia="仿宋"/>
          <w:color w:val="auto"/>
          <w:sz w:val="32"/>
        </w:rPr>
        <w:t>关运行经费</w:t>
      </w:r>
      <w:r>
        <w:rPr>
          <w:rFonts w:hint="eastAsia" w:ascii="仿宋" w:hAnsi="仿宋" w:eastAsia="仿宋"/>
          <w:color w:val="auto"/>
          <w:sz w:val="32"/>
          <w:lang w:eastAsia="zh-CN"/>
        </w:rPr>
        <w:t>预算</w:t>
      </w:r>
      <w:r>
        <w:rPr>
          <w:rFonts w:hint="eastAsia" w:ascii="仿宋_GB2312" w:hAnsi="仿宋_GB2312" w:eastAsia="仿宋_GB2312"/>
          <w:sz w:val="32"/>
        </w:rPr>
        <w:t>。</w:t>
      </w:r>
    </w:p>
    <w:p>
      <w:pPr>
        <w:spacing w:beforeLines="0" w:afterLines="0" w:line="555" w:lineRule="exact"/>
        <w:jc w:val="both"/>
        <w:rPr>
          <w:rFonts w:hint="default"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（二）政府采购情况</w:t>
      </w:r>
    </w:p>
    <w:p>
      <w:pPr>
        <w:spacing w:beforeLines="0" w:afterLines="0" w:line="555" w:lineRule="exact"/>
        <w:jc w:val="both"/>
        <w:rPr>
          <w:rFonts w:hint="default" w:ascii="Dialog" w:hAnsi="Dialog" w:eastAsia="仿宋_GB2312"/>
          <w:sz w:val="32"/>
        </w:rPr>
      </w:pPr>
      <w:r>
        <w:rPr>
          <w:rFonts w:hint="eastAsia" w:ascii="仿宋_GB2312" w:hAnsi="仿宋_GB2312" w:eastAsia="仿宋_GB2312"/>
          <w:sz w:val="32"/>
        </w:rPr>
        <w:t>　　2026年厦门市南山实验幼儿园政府采购预算总额0.00万元，其中：政府采购货物预算0.00万元，政府采购工程预算0.00万元，政府采购服务预算0.00万元。</w:t>
      </w:r>
      <w:r>
        <w:rPr>
          <w:rFonts w:hint="eastAsia" w:ascii="仿宋" w:hAnsi="仿宋" w:eastAsia="仿宋"/>
          <w:color w:val="auto"/>
          <w:sz w:val="32"/>
          <w:lang w:eastAsia="zh-CN"/>
        </w:rPr>
        <w:t>主要原因</w:t>
      </w:r>
      <w:r>
        <w:rPr>
          <w:rFonts w:hint="eastAsia" w:ascii="仿宋" w:hAnsi="仿宋" w:eastAsia="仿宋"/>
          <w:color w:val="auto"/>
          <w:sz w:val="32"/>
        </w:rPr>
        <w:t>:</w:t>
      </w:r>
      <w:r>
        <w:rPr>
          <w:rFonts w:hint="eastAsia" w:ascii="仿宋" w:hAnsi="仿宋" w:eastAsia="仿宋"/>
          <w:color w:val="auto"/>
          <w:sz w:val="32"/>
          <w:lang w:eastAsia="zh-CN"/>
        </w:rPr>
        <w:t>本单位</w:t>
      </w:r>
      <w:r>
        <w:rPr>
          <w:rFonts w:hint="eastAsia" w:ascii="仿宋" w:hAnsi="仿宋" w:eastAsia="仿宋"/>
          <w:color w:val="auto"/>
          <w:sz w:val="32"/>
        </w:rPr>
        <w:t>202</w:t>
      </w:r>
      <w:r>
        <w:rPr>
          <w:rFonts w:hint="eastAsia" w:ascii="仿宋" w:hAnsi="仿宋" w:eastAsia="仿宋"/>
          <w:color w:val="auto"/>
          <w:sz w:val="32"/>
          <w:lang w:val="en-US" w:eastAsia="zh-CN"/>
        </w:rPr>
        <w:t>6</w:t>
      </w:r>
      <w:r>
        <w:rPr>
          <w:rFonts w:hint="eastAsia" w:ascii="仿宋" w:hAnsi="仿宋" w:eastAsia="仿宋"/>
          <w:color w:val="auto"/>
          <w:sz w:val="32"/>
        </w:rPr>
        <w:t>年没</w:t>
      </w:r>
      <w:r>
        <w:rPr>
          <w:rFonts w:hint="eastAsia" w:ascii="仿宋" w:hAnsi="仿宋" w:eastAsia="仿宋"/>
          <w:color w:val="auto"/>
          <w:sz w:val="32"/>
          <w:lang w:val="en-US" w:eastAsia="zh-CN"/>
        </w:rPr>
        <w:t>有</w:t>
      </w:r>
      <w:r>
        <w:rPr>
          <w:rFonts w:hint="eastAsia" w:ascii="仿宋" w:hAnsi="仿宋" w:eastAsia="仿宋"/>
          <w:color w:val="auto"/>
          <w:sz w:val="32"/>
          <w:lang w:eastAsia="zh-CN"/>
        </w:rPr>
        <w:t>政府采购</w:t>
      </w:r>
      <w:r>
        <w:rPr>
          <w:rFonts w:hint="eastAsia" w:ascii="仿宋" w:hAnsi="仿宋" w:eastAsia="仿宋"/>
          <w:color w:val="auto"/>
          <w:sz w:val="32"/>
        </w:rPr>
        <w:t>预算</w:t>
      </w:r>
      <w:r>
        <w:rPr>
          <w:rFonts w:hint="eastAsia" w:ascii="仿宋" w:hAnsi="仿宋" w:eastAsia="仿宋"/>
          <w:color w:val="auto"/>
          <w:sz w:val="32"/>
          <w:lang w:eastAsia="zh-CN"/>
        </w:rPr>
        <w:t>安排</w:t>
      </w:r>
      <w:r>
        <w:rPr>
          <w:rFonts w:hint="eastAsia" w:ascii="仿宋_GB2312" w:hAnsi="仿宋_GB2312" w:eastAsia="仿宋_GB2312"/>
          <w:sz w:val="32"/>
        </w:rPr>
        <w:t>。</w:t>
      </w:r>
    </w:p>
    <w:p>
      <w:pPr>
        <w:spacing w:beforeLines="0" w:afterLines="0" w:line="555" w:lineRule="exact"/>
        <w:jc w:val="both"/>
        <w:rPr>
          <w:rFonts w:hint="default" w:ascii="仿宋_GB2312" w:hAnsi="仿宋_GB2312" w:eastAsia="仿宋_GB2312"/>
          <w:sz w:val="32"/>
        </w:rPr>
      </w:pPr>
      <w:r>
        <w:rPr>
          <w:rFonts w:hint="eastAsia" w:ascii="Dialog" w:hAnsi="Dialog" w:eastAsia="仿宋_GB2312"/>
          <w:sz w:val="32"/>
        </w:rPr>
        <w:t>　　</w:t>
      </w:r>
      <w:r>
        <w:rPr>
          <w:rFonts w:hint="eastAsia" w:ascii="楷体" w:hAnsi="楷体" w:eastAsia="楷体"/>
          <w:sz w:val="32"/>
        </w:rPr>
        <w:t>（三）国有资产占有使用情况</w:t>
      </w:r>
    </w:p>
    <w:p>
      <w:pPr>
        <w:spacing w:beforeLines="0" w:afterLines="0" w:line="555" w:lineRule="exact"/>
        <w:jc w:val="both"/>
        <w:rPr>
          <w:rFonts w:hint="default" w:ascii="Dialog" w:hAnsi="Dialog" w:eastAsia="仿宋_GB2312"/>
          <w:sz w:val="32"/>
        </w:rPr>
      </w:pPr>
      <w:r>
        <w:rPr>
          <w:rFonts w:hint="eastAsia" w:ascii="仿宋_GB2312" w:hAnsi="仿宋_GB2312" w:eastAsia="仿宋_GB2312"/>
          <w:sz w:val="32"/>
        </w:rPr>
        <w:t>　　截至2025年12月31日，厦门市南山实验幼儿园所属各预算单位共有车辆</w:t>
      </w:r>
      <w:r>
        <w:rPr>
          <w:rFonts w:hint="eastAsia" w:ascii="仿宋_GB2312" w:hAnsi="仿宋_GB2312" w:eastAsia="仿宋_GB2312"/>
          <w:sz w:val="32"/>
          <w:lang w:val="en-US" w:eastAsia="zh-CN"/>
        </w:rPr>
        <w:t>0</w:t>
      </w:r>
      <w:r>
        <w:rPr>
          <w:rFonts w:hint="eastAsia" w:ascii="仿宋_GB2312" w:hAnsi="仿宋_GB2312" w:eastAsia="仿宋_GB2312"/>
          <w:sz w:val="32"/>
        </w:rPr>
        <w:t>辆，单位价值100万元以上设备</w:t>
      </w:r>
      <w:r>
        <w:rPr>
          <w:rFonts w:hint="eastAsia" w:ascii="仿宋_GB2312" w:hAnsi="仿宋_GB2312" w:eastAsia="仿宋_GB2312"/>
          <w:sz w:val="32"/>
          <w:lang w:val="en-US" w:eastAsia="zh-CN"/>
        </w:rPr>
        <w:t>0</w:t>
      </w:r>
      <w:r>
        <w:rPr>
          <w:rFonts w:hint="eastAsia" w:ascii="仿宋_GB2312" w:hAnsi="仿宋_GB2312" w:eastAsia="仿宋_GB2312"/>
          <w:sz w:val="32"/>
        </w:rPr>
        <w:t>台（套）。</w:t>
      </w:r>
      <w:r>
        <w:rPr>
          <w:rFonts w:hint="eastAsia" w:ascii="仿宋_GB2312" w:hAnsi="仿宋_GB2312" w:eastAsia="仿宋_GB2312"/>
          <w:sz w:val="32"/>
          <w:lang w:eastAsia="zh-CN"/>
        </w:rPr>
        <w:t>说明</w:t>
      </w:r>
      <w:r>
        <w:rPr>
          <w:rFonts w:hint="eastAsia" w:ascii="仿宋_GB2312" w:hAnsi="仿宋_GB2312" w:eastAsia="仿宋_GB2312"/>
          <w:sz w:val="32"/>
        </w:rPr>
        <w:t>：本</w:t>
      </w:r>
      <w:r>
        <w:rPr>
          <w:rFonts w:hint="eastAsia" w:ascii="仿宋_GB2312" w:hAnsi="仿宋_GB2312" w:eastAsia="仿宋_GB2312"/>
          <w:sz w:val="32"/>
          <w:lang w:val="en-US" w:eastAsia="zh-CN"/>
        </w:rPr>
        <w:t>单位</w:t>
      </w:r>
      <w:r>
        <w:rPr>
          <w:rFonts w:hint="eastAsia" w:ascii="仿宋_GB2312" w:hAnsi="仿宋_GB2312" w:eastAsia="仿宋_GB2312"/>
          <w:sz w:val="32"/>
        </w:rPr>
        <w:t>没有国有资产占有情况。</w:t>
      </w:r>
    </w:p>
    <w:p>
      <w:pPr>
        <w:spacing w:beforeLines="0" w:afterLines="0" w:line="555" w:lineRule="exact"/>
        <w:jc w:val="both"/>
        <w:rPr>
          <w:rFonts w:hint="default" w:ascii="仿宋_GB2312" w:hAnsi="仿宋_GB2312" w:eastAsia="仿宋_GB2312"/>
          <w:sz w:val="32"/>
        </w:rPr>
      </w:pPr>
      <w:r>
        <w:rPr>
          <w:rFonts w:hint="eastAsia" w:ascii="Dialog" w:hAnsi="Dialog" w:eastAsia="仿宋_GB2312"/>
          <w:sz w:val="32"/>
        </w:rPr>
        <w:t>　　</w:t>
      </w:r>
      <w:r>
        <w:rPr>
          <w:rFonts w:hint="eastAsia" w:ascii="楷体" w:hAnsi="楷体" w:eastAsia="楷体"/>
          <w:sz w:val="32"/>
        </w:rPr>
        <w:t>（四）绩效目标设置情况</w:t>
      </w:r>
    </w:p>
    <w:p>
      <w:pPr>
        <w:spacing w:beforeLines="0" w:afterLines="0"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厦门市南山实验幼儿园2026年实行绩效目标管理的二级项目0个，涉及一般公共预算拨款0.00万元、政府性基金预算拨款0.00万元。</w:t>
      </w:r>
      <w:r>
        <w:rPr>
          <w:rFonts w:hint="eastAsia" w:ascii="仿宋" w:hAnsi="仿宋" w:eastAsia="仿宋"/>
          <w:color w:val="auto"/>
          <w:sz w:val="32"/>
          <w:lang w:eastAsia="zh-CN"/>
        </w:rPr>
        <w:t>说明：</w:t>
      </w:r>
      <w:r>
        <w:rPr>
          <w:rFonts w:hint="eastAsia" w:ascii="FangSong_GB2312" w:hAnsi="FangSong_GB2312" w:eastAsia="FangSong_GB2312"/>
          <w:color w:val="auto"/>
          <w:sz w:val="32"/>
          <w:lang w:eastAsia="zh-CN"/>
        </w:rPr>
        <w:t>本单位</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没有项目预算安排</w:t>
      </w:r>
      <w:r>
        <w:rPr>
          <w:rFonts w:hint="eastAsia" w:ascii="仿宋_GB2312" w:hAnsi="仿宋_GB2312" w:eastAsia="仿宋_GB2312"/>
          <w:sz w:val="32"/>
        </w:rPr>
        <w:t>。</w:t>
      </w:r>
    </w:p>
    <w:p>
      <w:pPr>
        <w:pStyle w:val="2"/>
        <w:spacing w:beforeLines="0" w:afterLines="0"/>
        <w:rPr>
          <w:rFonts w:hint="eastAsia"/>
          <w:sz w:val="20"/>
        </w:rPr>
      </w:pPr>
    </w:p>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第三部分  名词解释</w:t>
      </w:r>
    </w:p>
    <w:p>
      <w:pPr>
        <w:spacing w:beforeLines="0" w:afterLines="0" w:line="555" w:lineRule="exact"/>
        <w:jc w:val="both"/>
        <w:rPr>
          <w:rFonts w:hint="default" w:ascii="楷体_GB2312" w:hAnsi="楷体_GB2312" w:eastAsia="楷体_GB2312"/>
          <w:sz w:val="32"/>
        </w:rPr>
      </w:pPr>
      <w:r>
        <w:rPr>
          <w:rFonts w:hint="eastAsia" w:ascii="楷体_GB2312" w:hAnsi="楷体_GB2312" w:eastAsia="楷体_GB2312"/>
          <w:sz w:val="32"/>
        </w:rPr>
        <w:t>　　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beforeLines="0" w:afterLines="0" w:line="555" w:lineRule="exact"/>
        <w:jc w:val="both"/>
        <w:rPr>
          <w:rFonts w:hint="default" w:ascii="楷体_GB2312" w:hAnsi="楷体_GB2312" w:eastAsia="楷体_GB2312"/>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beforeLines="0" w:afterLines="0" w:line="555" w:lineRule="exact"/>
        <w:jc w:val="both"/>
        <w:rPr>
          <w:rFonts w:hint="default" w:ascii="楷体_GB2312" w:hAnsi="楷体_GB2312" w:eastAsia="楷体_GB2312"/>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beforeLines="0" w:afterLines="0" w:line="555" w:lineRule="exact"/>
        <w:jc w:val="both"/>
        <w:rPr>
          <w:rFonts w:hint="default" w:ascii="楷体_GB2312" w:hAnsi="楷体_GB2312" w:eastAsia="楷体_GB2312"/>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beforeLines="0" w:afterLines="0" w:line="555" w:lineRule="exact"/>
        <w:ind w:firstLine="640" w:firstLineChars="200"/>
        <w:jc w:val="both"/>
        <w:rPr>
          <w:rFonts w:hint="eastAsia" w:ascii="仿宋_GB2312" w:hAnsi="仿宋_GB2312" w:eastAsia="仿宋_GB2312"/>
          <w:sz w:val="32"/>
          <w:lang w:eastAsia="zh-CN"/>
        </w:rPr>
      </w:pPr>
      <w:r>
        <w:rPr>
          <w:rFonts w:hint="eastAsia" w:ascii="楷体_GB2312" w:hAnsi="楷体_GB2312" w:eastAsia="楷体_GB2312"/>
          <w:sz w:val="32"/>
        </w:rPr>
        <w:t>五、其他名词解释。</w:t>
      </w:r>
      <w:r>
        <w:rPr>
          <w:rFonts w:hint="eastAsia" w:ascii="仿宋_GB2312" w:hAnsi="仿宋_GB2312" w:eastAsia="仿宋_GB2312"/>
          <w:sz w:val="32"/>
          <w:lang w:eastAsia="zh-CN"/>
        </w:rPr>
        <w:t>无</w:t>
      </w:r>
    </w:p>
    <w:p>
      <w:pPr>
        <w:pStyle w:val="2"/>
        <w:spacing w:beforeLines="0" w:afterLines="0"/>
        <w:rPr>
          <w:rFonts w:hint="eastAsia"/>
          <w:sz w:val="20"/>
        </w:rPr>
      </w:pPr>
    </w:p>
    <w:p>
      <w:pPr>
        <w:spacing w:beforeLines="0" w:afterLines="0" w:line="555" w:lineRule="exact"/>
        <w:ind w:left="20"/>
        <w:jc w:val="center"/>
        <w:rPr>
          <w:rFonts w:hint="eastAsia" w:ascii="黑体" w:hAnsi="黑体" w:eastAsia="黑体"/>
          <w:sz w:val="32"/>
        </w:rPr>
      </w:pPr>
      <w:r>
        <w:rPr>
          <w:rFonts w:hint="eastAsia" w:ascii="黑体" w:hAnsi="黑体" w:eastAsia="黑体"/>
          <w:sz w:val="32"/>
        </w:rPr>
        <w:t>第四部分  2026年单位预算附表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一、部门收支预算总体情况表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二、部门收入预算总体情况表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三、部门支出预算总体情况表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四、财政拨款收支预算总体情况表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五、一般公共预算支出情况表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七、一般公共预算“三公”经费支出情况表</w:t>
      </w:r>
    </w:p>
    <w:p>
      <w:pPr>
        <w:spacing w:beforeLines="0" w:afterLines="0" w:line="540" w:lineRule="exact"/>
        <w:jc w:val="both"/>
        <w:rPr>
          <w:rFonts w:hint="default" w:ascii="仿宋_GB2312" w:hAnsi="仿宋_GB2312" w:eastAsia="仿宋_GB2312"/>
          <w:sz w:val="32"/>
        </w:rPr>
      </w:pPr>
      <w:r>
        <w:rPr>
          <w:rFonts w:hint="eastAsia" w:ascii="仿宋_GB2312" w:hAnsi="仿宋_GB2312" w:eastAsia="仿宋_GB2312"/>
          <w:sz w:val="32"/>
        </w:rPr>
        <w:t>　　八、政府性基金预算支出情况表</w:t>
      </w:r>
    </w:p>
    <w:p>
      <w:pPr>
        <w:spacing w:beforeLines="0" w:afterLines="0" w:line="540"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九、区对镇（街）转移支付项目支出预算表</w:t>
      </w:r>
    </w:p>
    <w:p>
      <w:pPr>
        <w:spacing w:beforeLines="0" w:afterLines="0" w:line="540" w:lineRule="exact"/>
        <w:ind w:firstLine="640" w:firstLineChars="200"/>
        <w:jc w:val="both"/>
        <w:rPr>
          <w:rFonts w:hint="eastAsia" w:ascii="黑体" w:hAnsi="黑体" w:eastAsia="黑体"/>
          <w:sz w:val="32"/>
        </w:rPr>
      </w:pPr>
      <w:r>
        <w:rPr>
          <w:rFonts w:hint="eastAsia" w:ascii="仿宋_GB2312" w:hAnsi="仿宋_GB2312" w:eastAsia="仿宋_GB2312"/>
          <w:sz w:val="32"/>
          <w:lang w:val="en-US" w:eastAsia="zh-CN"/>
        </w:rPr>
        <w:t>十、二级项目绩效目标表</w:t>
      </w:r>
    </w:p>
    <w:p>
      <w:pPr>
        <w:spacing w:beforeLines="0" w:afterLines="0"/>
        <w:rPr>
          <w:rFonts w:hint="default"/>
          <w:sz w:val="24"/>
        </w:rPr>
      </w:pPr>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仿宋_GB2312">
    <w:altName w:val="仿宋"/>
    <w:panose1 w:val="00000000000000000000"/>
    <w:charset w:val="86"/>
    <w:family w:val="roman"/>
    <w:pitch w:val="default"/>
    <w:sig w:usb0="00000000" w:usb1="00000000" w:usb2="00000000" w:usb3="00000000" w:csb0="00040000" w:csb1="00000000"/>
  </w:font>
  <w:font w:name="方正小标宋简体">
    <w:altName w:val="黑体"/>
    <w:panose1 w:val="02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0000000000000000000"/>
    <w:charset w:val="00"/>
    <w:family w:val="roman"/>
    <w:pitch w:val="default"/>
    <w:sig w:usb0="00000000" w:usb1="00000000" w:usb2="00000000" w:usb3="00000000" w:csb0="00000001" w:csb1="00000000"/>
  </w:font>
  <w:font w:name="??_GB2312">
    <w:altName w:val="Segoe Print"/>
    <w:panose1 w:val="00000000000000000000"/>
    <w:charset w:val="00"/>
    <w:family w:val="roman"/>
    <w:pitch w:val="default"/>
    <w:sig w:usb0="00000000" w:usb1="00000000" w:usb2="00000000" w:usb3="00000000" w:csb0="00000001" w:csb1="00000000"/>
  </w:font>
  <w:font w:name="楷体_GB2312">
    <w:altName w:val="楷体"/>
    <w:panose1 w:val="00000000000000000000"/>
    <w:charset w:val="86"/>
    <w:family w:val="roman"/>
    <w:pitch w:val="default"/>
    <w:sig w:usb0="00000000" w:usb1="00000000" w:usb2="00000000" w:usb3="00000000" w:csb0="00040000" w:csb1="00000000"/>
  </w:font>
  <w:font w:name="楷体">
    <w:panose1 w:val="02010609060101010101"/>
    <w:charset w:val="86"/>
    <w:family w:val="roman"/>
    <w:pitch w:val="default"/>
    <w:sig w:usb0="800002BF" w:usb1="38CF7CFA" w:usb2="00000016" w:usb3="00000000" w:csb0="00040001" w:csb1="00000000"/>
  </w:font>
  <w:font w:name="华文仿宋">
    <w:altName w:val="仿宋"/>
    <w:panose1 w:val="00000000000000000000"/>
    <w:charset w:val="00"/>
    <w:family w:val="roman"/>
    <w:pitch w:val="default"/>
    <w:sig w:usb0="00000000" w:usb1="00000000" w:usb2="00000000" w:usb3="00000000" w:csb0="00000001" w:csb1="00000000"/>
  </w:font>
  <w:font w:name="华文仿宋">
    <w:altName w:val="仿宋"/>
    <w:panose1 w:val="00000000000000000000"/>
    <w:charset w:val="86"/>
    <w:family w:val="roman"/>
    <w:pitch w:val="default"/>
    <w:sig w:usb0="00000000" w:usb1="00000000" w:usb2="00000000" w:usb3="00000000" w:csb0="00040000" w:csb1="00000000"/>
  </w:font>
  <w:font w:name="Dialog">
    <w:altName w:val="Times New Roman"/>
    <w:panose1 w:val="00000000000000000000"/>
    <w:charset w:val="00"/>
    <w:family w:val="roman"/>
    <w:pitch w:val="default"/>
    <w:sig w:usb0="00000000" w:usb1="00000000" w:usb2="00000000" w:usb3="00000000" w:csb0="00000001" w:csb1="00000000"/>
  </w:font>
  <w:font w:name="FangSong_GB2312">
    <w:altName w:val="仿宋"/>
    <w:panose1 w:val="00000000000000000000"/>
    <w:charset w:val="86"/>
    <w:family w:val="roman"/>
    <w:pitch w:val="default"/>
    <w:sig w:usb0="00000000" w:usb1="00000000" w:usb2="00000000" w:usb3="00000000" w:csb0="00040000" w:csb1="00000000"/>
  </w:font>
  <w:font w:name="楷体_GB2312">
    <w:altName w:val="楷体"/>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rPr>
          </w:pPr>
        </w:p>
      </w:tc>
      <w:tc>
        <w:tcPr>
          <w:tcW w:w="3163" w:type="dxa"/>
          <w:tcBorders>
            <w:top w:val="nil"/>
            <w:left w:val="nil"/>
            <w:bottom w:val="nil"/>
            <w:right w:val="nil"/>
            <w:tl2br w:val="nil"/>
            <w:tr2bl w:val="nil"/>
          </w:tcBorders>
          <w:shd w:val="clear" w:color="auto" w:fill="FFFFFF"/>
          <w:noWrap w:val="0"/>
          <w:vAlign w:val="top"/>
        </w:tcPr>
        <w:p>
          <w:pPr>
            <w:spacing w:beforeLines="0" w:afterLines="0"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rPr>
          </w:pPr>
        </w:p>
      </w:tc>
    </w:tr>
  </w:tbl>
  <w:p>
    <w:pPr>
      <w:spacing w:beforeLines="0" w:afterLines="0"/>
      <w:rPr>
        <w:rFonts w:hint="default"/>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54A58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iPriority="99" w:semiHidden="0" w:name="Normal"/>
    <w:lsdException w:uiPriority="99" w:semiHidden="0" w:name="heading 1"/>
    <w:lsdException w:uiPriority="99" w:semiHidden="0" w:name="heading 2"/>
    <w:lsdException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iPriority="0"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iPriority="0"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qFormat="1" w:unhideWhenUsed="0" w:uiPriority="99" w:semiHidden="0" w:name="Light Shading"/>
    <w:lsdException w:qFormat="1" w:unhideWhenUsed="0" w:uiPriority="99" w:semiHidden="0" w:name="Light List"/>
    <w:lsdException w:qFormat="1" w:unhideWhenUsed="0" w:uiPriority="99" w:semiHidden="0" w:name="Light Grid"/>
    <w:lsdException w:qFormat="1" w:unhideWhenUsed="0" w:uiPriority="99" w:semiHidden="0" w:name="Medium Shading 1"/>
    <w:lsdException w:qFormat="1" w:unhideWhenUsed="0" w:uiPriority="99" w:semiHidden="0" w:name="Medium Shading 2"/>
    <w:lsdException w:qFormat="1" w:unhideWhenUsed="0" w:uiPriority="99" w:semiHidden="0" w:name="Medium List 1"/>
    <w:lsdException w:qFormat="1" w:unhideWhenUsed="0" w:uiPriority="99" w:semiHidden="0" w:name="Medium List 2"/>
    <w:lsdException w:qFormat="1" w:unhideWhenUsed="0" w:uiPriority="99" w:semiHidden="0" w:name="Medium Grid 1"/>
    <w:lsdException w:qFormat="1" w:unhideWhenUsed="0" w:uiPriority="99" w:semiHidden="0" w:name="Medium Grid 2"/>
    <w:lsdException w:qFormat="1" w:unhideWhenUsed="0" w:uiPriority="99" w:semiHidden="0" w:name="Medium Grid 3"/>
    <w:lsdException w:qFormat="1" w:unhideWhenUsed="0" w:uiPriority="99" w:semiHidden="0" w:name="Dark List"/>
    <w:lsdException w:qFormat="1" w:unhideWhenUsed="0" w:uiPriority="99" w:semiHidden="0" w:name="Colorful Shading"/>
    <w:lsdException w:qFormat="1" w:unhideWhenUsed="0" w:uiPriority="99" w:semiHidden="0" w:name="Colorful List"/>
    <w:lsdException w:qFormat="1" w:unhideWhenUsed="0" w:uiPriority="99" w:semiHidden="0" w:name="Colorful Grid"/>
    <w:lsdException w:qFormat="1" w:unhideWhenUsed="0" w:uiPriority="99" w:semiHidden="0" w:name="Light Shading Accent 1"/>
    <w:lsdException w:qFormat="1" w:unhideWhenUsed="0" w:uiPriority="99" w:semiHidden="0" w:name="Light List Accent 1"/>
    <w:lsdException w:qFormat="1" w:unhideWhenUsed="0" w:uiPriority="99" w:semiHidden="0" w:name="Light Grid Accent 1"/>
    <w:lsdException w:qFormat="1" w:unhideWhenUsed="0" w:uiPriority="99" w:semiHidden="0" w:name="Medium Shading 1 Accent 1"/>
    <w:lsdException w:qFormat="1" w:unhideWhenUsed="0" w:uiPriority="99" w:semiHidden="0" w:name="Medium Shading 2 Accent 1"/>
    <w:lsdException w:qFormat="1" w:unhideWhenUsed="0" w:uiPriority="99" w:semiHidden="0" w:name="Medium List 1 Accent 1"/>
    <w:lsdException w:qFormat="1" w:unhideWhenUsed="0" w:uiPriority="99" w:semiHidden="0" w:name="Medium List 2 Accent 1"/>
    <w:lsdException w:qFormat="1" w:unhideWhenUsed="0" w:uiPriority="99" w:semiHidden="0" w:name="Medium Grid 1 Accent 1"/>
    <w:lsdException w:qFormat="1" w:unhideWhenUsed="0" w:uiPriority="99" w:semiHidden="0" w:name="Medium Grid 2 Accent 1"/>
    <w:lsdException w:qFormat="1" w:unhideWhenUsed="0" w:uiPriority="99" w:semiHidden="0" w:name="Medium Grid 3 Accent 1"/>
    <w:lsdException w:qFormat="1" w:unhideWhenUsed="0" w:uiPriority="99" w:semiHidden="0" w:name="Dark List Accent 1"/>
    <w:lsdException w:qFormat="1" w:unhideWhenUsed="0" w:uiPriority="99" w:semiHidden="0" w:name="Colorful Shading Accent 1"/>
    <w:lsdException w:qFormat="1" w:unhideWhenUsed="0" w:uiPriority="99" w:semiHidden="0" w:name="Colorful List Accent 1"/>
    <w:lsdException w:qFormat="1" w:unhideWhenUsed="0" w:uiPriority="99" w:semiHidden="0" w:name="Colorful Grid Accent 1"/>
    <w:lsdException w:qFormat="1" w:unhideWhenUsed="0" w:uiPriority="99" w:semiHidden="0" w:name="Light Shading Accent 2"/>
    <w:lsdException w:qFormat="1" w:unhideWhenUsed="0" w:uiPriority="99" w:semiHidden="0" w:name="Light List Accent 2"/>
    <w:lsdException w:qFormat="1" w:unhideWhenUsed="0" w:uiPriority="99" w:semiHidden="0" w:name="Light Grid Accent 2"/>
    <w:lsdException w:qFormat="1" w:unhideWhenUsed="0" w:uiPriority="99" w:semiHidden="0" w:name="Medium Shading 1 Accent 2"/>
    <w:lsdException w:qFormat="1" w:unhideWhenUsed="0" w:uiPriority="99" w:semiHidden="0" w:name="Medium Shading 2 Accent 2"/>
    <w:lsdException w:qFormat="1" w:unhideWhenUsed="0" w:uiPriority="99" w:semiHidden="0" w:name="Medium List 1 Accent 2"/>
    <w:lsdException w:qFormat="1" w:unhideWhenUsed="0" w:uiPriority="99" w:semiHidden="0" w:name="Medium List 2 Accent 2"/>
    <w:lsdException w:qFormat="1" w:unhideWhenUsed="0" w:uiPriority="99" w:semiHidden="0" w:name="Medium Grid 1 Accent 2"/>
    <w:lsdException w:qFormat="1" w:unhideWhenUsed="0" w:uiPriority="99" w:semiHidden="0" w:name="Medium Grid 2 Accent 2"/>
    <w:lsdException w:qFormat="1" w:unhideWhenUsed="0" w:uiPriority="99" w:semiHidden="0" w:name="Medium Grid 3 Accent 2"/>
    <w:lsdException w:qFormat="1" w:unhideWhenUsed="0" w:uiPriority="99" w:semiHidden="0" w:name="Dark List Accent 2"/>
    <w:lsdException w:qFormat="1" w:unhideWhenUsed="0" w:uiPriority="99" w:semiHidden="0" w:name="Colorful Shading Accent 2"/>
    <w:lsdException w:qFormat="1" w:unhideWhenUsed="0" w:uiPriority="99" w:semiHidden="0" w:name="Colorful List Accent 2"/>
    <w:lsdException w:qFormat="1" w:unhideWhenUsed="0" w:uiPriority="99" w:semiHidden="0" w:name="Colorful Grid Accent 2"/>
    <w:lsdException w:qFormat="1" w:unhideWhenUsed="0" w:uiPriority="99" w:semiHidden="0" w:name="Light Shading Accent 3"/>
    <w:lsdException w:qFormat="1" w:unhideWhenUsed="0" w:uiPriority="99" w:semiHidden="0" w:name="Light List Accent 3"/>
    <w:lsdException w:qFormat="1" w:unhideWhenUsed="0" w:uiPriority="99" w:semiHidden="0" w:name="Light Grid Accent 3"/>
    <w:lsdException w:qFormat="1" w:unhideWhenUsed="0" w:uiPriority="99" w:semiHidden="0" w:name="Medium Shading 1 Accent 3"/>
    <w:lsdException w:qFormat="1" w:unhideWhenUsed="0" w:uiPriority="99" w:semiHidden="0" w:name="Medium Shading 2 Accent 3"/>
    <w:lsdException w:qFormat="1" w:unhideWhenUsed="0" w:uiPriority="99" w:semiHidden="0" w:name="Medium List 1 Accent 3"/>
    <w:lsdException w:qFormat="1" w:unhideWhenUsed="0" w:uiPriority="99" w:semiHidden="0" w:name="Medium List 2 Accent 3"/>
    <w:lsdException w:qFormat="1" w:unhideWhenUsed="0" w:uiPriority="99" w:semiHidden="0" w:name="Medium Grid 1 Accent 3"/>
    <w:lsdException w:qFormat="1" w:unhideWhenUsed="0" w:uiPriority="99" w:semiHidden="0" w:name="Medium Grid 2 Accent 3"/>
    <w:lsdException w:qFormat="1" w:unhideWhenUsed="0" w:uiPriority="99" w:semiHidden="0" w:name="Medium Grid 3 Accent 3"/>
    <w:lsdException w:qFormat="1" w:unhideWhenUsed="0" w:uiPriority="99" w:semiHidden="0" w:name="Dark List Accent 3"/>
    <w:lsdException w:qFormat="1" w:unhideWhenUsed="0" w:uiPriority="99" w:semiHidden="0" w:name="Colorful Shading Accent 3"/>
    <w:lsdException w:qFormat="1" w:unhideWhenUsed="0" w:uiPriority="99" w:semiHidden="0" w:name="Colorful List Accent 3"/>
    <w:lsdException w:qFormat="1" w:unhideWhenUsed="0" w:uiPriority="99" w:semiHidden="0" w:name="Colorful Grid Accent 3"/>
    <w:lsdException w:qFormat="1" w:unhideWhenUsed="0" w:uiPriority="99" w:semiHidden="0" w:name="Light Shading Accent 4"/>
    <w:lsdException w:qFormat="1" w:unhideWhenUsed="0" w:uiPriority="99" w:semiHidden="0" w:name="Light List Accent 4"/>
    <w:lsdException w:qFormat="1" w:unhideWhenUsed="0" w:uiPriority="99" w:semiHidden="0" w:name="Light Grid Accent 4"/>
    <w:lsdException w:qFormat="1" w:unhideWhenUsed="0" w:uiPriority="99" w:semiHidden="0" w:name="Medium Shading 1 Accent 4"/>
    <w:lsdException w:qFormat="1" w:unhideWhenUsed="0" w:uiPriority="99" w:semiHidden="0" w:name="Medium Shading 2 Accent 4"/>
    <w:lsdException w:qFormat="1" w:unhideWhenUsed="0" w:uiPriority="99" w:semiHidden="0" w:name="Medium List 1 Accent 4"/>
    <w:lsdException w:qFormat="1" w:unhideWhenUsed="0" w:uiPriority="99" w:semiHidden="0" w:name="Medium List 2 Accent 4"/>
    <w:lsdException w:qFormat="1" w:unhideWhenUsed="0" w:uiPriority="99" w:semiHidden="0" w:name="Medium Grid 1 Accent 4"/>
    <w:lsdException w:qFormat="1" w:unhideWhenUsed="0" w:uiPriority="99" w:semiHidden="0" w:name="Medium Grid 2 Accent 4"/>
    <w:lsdException w:qFormat="1" w:unhideWhenUsed="0" w:uiPriority="99" w:semiHidden="0" w:name="Medium Grid 3 Accent 4"/>
    <w:lsdException w:qFormat="1" w:unhideWhenUsed="0" w:uiPriority="99" w:semiHidden="0" w:name="Dark List Accent 4"/>
    <w:lsdException w:qFormat="1" w:unhideWhenUsed="0" w:uiPriority="99" w:semiHidden="0" w:name="Colorful Shading Accent 4"/>
    <w:lsdException w:qFormat="1" w:unhideWhenUsed="0" w:uiPriority="99" w:semiHidden="0" w:name="Colorful List Accent 4"/>
    <w:lsdException w:qFormat="1" w:unhideWhenUsed="0" w:uiPriority="99" w:semiHidden="0" w:name="Colorful Grid Accent 4"/>
    <w:lsdException w:qFormat="1" w:unhideWhenUsed="0" w:uiPriority="99" w:semiHidden="0" w:name="Light Shading Accent 5"/>
    <w:lsdException w:qFormat="1" w:unhideWhenUsed="0" w:uiPriority="99" w:semiHidden="0" w:name="Light List Accent 5"/>
    <w:lsdException w:qFormat="1" w:unhideWhenUsed="0" w:uiPriority="99" w:semiHidden="0" w:name="Light Grid Accent 5"/>
    <w:lsdException w:qFormat="1" w:unhideWhenUsed="0" w:uiPriority="99" w:semiHidden="0" w:name="Medium Shading 1 Accent 5"/>
    <w:lsdException w:qFormat="1" w:unhideWhenUsed="0" w:uiPriority="99" w:semiHidden="0" w:name="Medium Shading 2 Accent 5"/>
    <w:lsdException w:qFormat="1" w:unhideWhenUsed="0" w:uiPriority="99" w:semiHidden="0" w:name="Medium List 1 Accent 5"/>
    <w:lsdException w:qFormat="1" w:unhideWhenUsed="0" w:uiPriority="99" w:semiHidden="0" w:name="Medium List 2 Accent 5"/>
    <w:lsdException w:qFormat="1" w:unhideWhenUsed="0" w:uiPriority="99" w:semiHidden="0" w:name="Medium Grid 1 Accent 5"/>
    <w:lsdException w:qFormat="1" w:unhideWhenUsed="0" w:uiPriority="99" w:semiHidden="0" w:name="Medium Grid 2 Accent 5"/>
    <w:lsdException w:qFormat="1" w:unhideWhenUsed="0" w:uiPriority="99" w:semiHidden="0" w:name="Medium Grid 3 Accent 5"/>
    <w:lsdException w:qFormat="1" w:unhideWhenUsed="0" w:uiPriority="99" w:semiHidden="0" w:name="Dark List Accent 5"/>
    <w:lsdException w:qFormat="1" w:unhideWhenUsed="0" w:uiPriority="99" w:semiHidden="0" w:name="Colorful Shading Accent 5"/>
    <w:lsdException w:qFormat="1" w:unhideWhenUsed="0" w:uiPriority="99" w:semiHidden="0" w:name="Colorful List Accent 5"/>
    <w:lsdException w:qFormat="1" w:unhideWhenUsed="0" w:uiPriority="99" w:semiHidden="0" w:name="Colorful Grid Accent 5"/>
    <w:lsdException w:qFormat="1" w:unhideWhenUsed="0" w:uiPriority="99" w:semiHidden="0" w:name="Light Shading Accent 6"/>
    <w:lsdException w:qFormat="1" w:unhideWhenUsed="0" w:uiPriority="99" w:semiHidden="0" w:name="Light List Accent 6"/>
    <w:lsdException w:qFormat="1" w:unhideWhenUsed="0" w:uiPriority="99" w:semiHidden="0" w:name="Light Grid Accent 6"/>
    <w:lsdException w:qFormat="1" w:unhideWhenUsed="0" w:uiPriority="99" w:semiHidden="0" w:name="Medium Shading 1 Accent 6"/>
    <w:lsdException w:qFormat="1" w:unhideWhenUsed="0" w:uiPriority="99" w:semiHidden="0" w:name="Medium Shading 2 Accent 6"/>
    <w:lsdException w:qFormat="1" w:unhideWhenUsed="0" w:uiPriority="99" w:semiHidden="0" w:name="Medium List 1 Accent 6"/>
    <w:lsdException w:qFormat="1" w:unhideWhenUsed="0" w:uiPriority="99" w:semiHidden="0" w:name="Medium List 2 Accent 6"/>
    <w:lsdException w:qFormat="1" w:unhideWhenUsed="0" w:uiPriority="99" w:semiHidden="0" w:name="Medium Grid 1 Accent 6"/>
    <w:lsdException w:qFormat="1" w:unhideWhenUsed="0" w:uiPriority="99" w:semiHidden="0" w:name="Medium Grid 2 Accent 6"/>
    <w:lsdException w:qFormat="1" w:unhideWhenUsed="0" w:uiPriority="99" w:semiHidden="0" w:name="Medium Grid 3 Accent 6"/>
    <w:lsdException w:qFormat="1" w:unhideWhenUsed="0" w:uiPriority="99" w:semiHidden="0" w:name="Dark List Accent 6"/>
    <w:lsdException w:qFormat="1" w:unhideWhenUsed="0" w:uiPriority="99" w:semiHidden="0" w:name="Colorful Shading Accent 6"/>
    <w:lsdException w:qFormat="1" w:unhideWhenUsed="0" w:uiPriority="99" w:semiHidden="0" w:name="Colorful List Accent 6"/>
    <w:lsdException w:qFormat="1" w:unhideWhenUsed="0" w:uiPriority="99" w:semiHidden="0" w:name="Colorful Grid Accent 6"/>
  </w:latentStyles>
  <w:style w:type="paragraph" w:default="1" w:styleId="1">
    <w:name w:val="Normal"/>
    <w:next w:val="2"/>
    <w:unhideWhenUsed/>
    <w:uiPriority w:val="99"/>
    <w:pPr>
      <w:widowControl w:val="0"/>
      <w:autoSpaceDE w:val="0"/>
      <w:autoSpaceDN w:val="0"/>
      <w:adjustRightInd w:val="0"/>
      <w:spacing w:beforeLines="0" w:afterLines="0"/>
    </w:pPr>
    <w:rPr>
      <w:rFonts w:hint="default" w:ascii="Arial" w:hAnsi="Arial" w:eastAsia="宋体"/>
      <w:color w:val="000000"/>
      <w:sz w:val="24"/>
    </w:rPr>
  </w:style>
  <w:style w:type="paragraph" w:styleId="4">
    <w:name w:val="heading 1"/>
    <w:unhideWhenUsed/>
    <w:uiPriority w:val="99"/>
    <w:pPr>
      <w:widowControl w:val="0"/>
      <w:autoSpaceDE w:val="0"/>
      <w:autoSpaceDN w:val="0"/>
      <w:adjustRightInd w:val="0"/>
      <w:spacing w:beforeLines="0" w:afterLines="0"/>
    </w:pPr>
    <w:rPr>
      <w:rFonts w:hint="default" w:ascii="Arial" w:hAnsi="Arial" w:eastAsia="宋体"/>
      <w:b/>
      <w:color w:val="000000"/>
      <w:sz w:val="32"/>
    </w:rPr>
  </w:style>
  <w:style w:type="paragraph" w:styleId="5">
    <w:name w:val="heading 2"/>
    <w:unhideWhenUsed/>
    <w:uiPriority w:val="99"/>
    <w:pPr>
      <w:widowControl w:val="0"/>
      <w:autoSpaceDE w:val="0"/>
      <w:autoSpaceDN w:val="0"/>
      <w:adjustRightInd w:val="0"/>
      <w:spacing w:beforeLines="0" w:afterLines="0"/>
    </w:pPr>
    <w:rPr>
      <w:rFonts w:hint="default" w:ascii="Arial" w:hAnsi="Arial" w:eastAsia="宋体"/>
      <w:b/>
      <w:i/>
      <w:color w:val="000000"/>
      <w:sz w:val="28"/>
    </w:rPr>
  </w:style>
  <w:style w:type="paragraph" w:styleId="6">
    <w:name w:val="heading 3"/>
    <w:unhideWhenUsed/>
    <w:uiPriority w:val="99"/>
    <w:pPr>
      <w:widowControl w:val="0"/>
      <w:autoSpaceDE w:val="0"/>
      <w:autoSpaceDN w:val="0"/>
      <w:adjustRightInd w:val="0"/>
      <w:spacing w:beforeLines="0" w:afterLines="0"/>
    </w:pPr>
    <w:rPr>
      <w:rFonts w:hint="default" w:ascii="Arial" w:hAnsi="Arial" w:eastAsia="宋体"/>
      <w:b/>
      <w:color w:val="000000"/>
      <w:sz w:val="26"/>
    </w:rPr>
  </w:style>
  <w:style w:type="character" w:default="1" w:styleId="7">
    <w:name w:val="Default Paragraph Font"/>
    <w:unhideWhenUsed/>
    <w:uiPriority w:val="99"/>
    <w:rPr>
      <w:rFonts w:hint="default"/>
      <w:sz w:val="24"/>
    </w:rPr>
  </w:style>
  <w:style w:type="table" w:default="1" w:styleId="8">
    <w:name w:val="Normal Table"/>
    <w:qFormat/>
    <w:uiPriority w:val="99"/>
    <w:tblPr>
      <w:tblLayout w:type="fixed"/>
      <w:tblCellMar>
        <w:top w:w="0" w:type="dxa"/>
        <w:left w:w="108" w:type="dxa"/>
        <w:bottom w:w="0" w:type="dxa"/>
        <w:right w:w="108" w:type="dxa"/>
      </w:tblCellMar>
    </w:tblPr>
  </w:style>
  <w:style w:type="paragraph" w:styleId="2">
    <w:name w:val="Body Text First Indent"/>
    <w:basedOn w:val="3"/>
    <w:unhideWhenUsed/>
    <w:qFormat/>
    <w:uiPriority w:val="0"/>
    <w:pPr>
      <w:spacing w:beforeLines="0" w:after="120" w:afterLines="0"/>
      <w:ind w:firstLine="420" w:firstLineChars="100"/>
      <w:jc w:val="both"/>
    </w:pPr>
    <w:rPr>
      <w:rFonts w:hint="default" w:ascii="Calibri" w:eastAsia="宋体"/>
      <w:sz w:val="20"/>
      <w:lang w:val="en-US" w:eastAsia="zh-CN"/>
    </w:rPr>
  </w:style>
  <w:style w:type="paragraph" w:styleId="3">
    <w:name w:val="Body Text"/>
    <w:basedOn w:val="1"/>
    <w:unhideWhenUsed/>
    <w:qFormat/>
    <w:uiPriority w:val="0"/>
    <w:pPr>
      <w:spacing w:beforeLines="0" w:afterLines="0"/>
    </w:pPr>
    <w:rPr>
      <w:rFonts w:hint="eastAsia" w:ascii="仿宋_GB2312" w:hAnsi="Calibri" w:eastAsia="仿宋_GB2312"/>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2026-01-21T08:20:41Z</dcterms:created>
  <dc:creator>Administrator</dc:creator>
  <cp:lastModifiedBy>Administrator</cp:lastModifiedBy>
  <dcterms:modified xsi:type="dcterms:W3CDTF">2026-01-21T08:21:02Z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